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8D" w:rsidRDefault="000C258D" w:rsidP="000C258D">
      <w:pPr>
        <w:shd w:val="clear" w:color="auto" w:fill="FFFFFF"/>
        <w:spacing w:after="0" w:line="240" w:lineRule="auto"/>
        <w:outlineLvl w:val="0"/>
        <w:rPr>
          <w:rFonts w:ascii="Calibri" w:eastAsia="Times New Roman" w:hAnsi="Calibri" w:cs="Times New Roman"/>
          <w:color w:val="0090B4"/>
          <w:sz w:val="21"/>
          <w:u w:val="single"/>
        </w:rPr>
      </w:pPr>
      <w:r w:rsidRPr="000C258D">
        <w:rPr>
          <w:rFonts w:ascii="inherit" w:eastAsia="Times New Roman" w:hAnsi="inherit" w:cs="Times New Roman"/>
          <w:color w:val="333333"/>
          <w:kern w:val="36"/>
          <w:sz w:val="50"/>
          <w:szCs w:val="50"/>
        </w:rPr>
        <w:t>Public Statement - 21 October 2016</w:t>
      </w:r>
    </w:p>
    <w:p w:rsidR="000C258D" w:rsidRPr="000C258D" w:rsidRDefault="000C258D" w:rsidP="000C258D">
      <w:pPr>
        <w:shd w:val="clear" w:color="auto" w:fill="FFFFFF"/>
        <w:spacing w:after="0" w:line="240" w:lineRule="auto"/>
        <w:outlineLvl w:val="0"/>
        <w:rPr>
          <w:rFonts w:ascii="inherit" w:eastAsia="Times New Roman" w:hAnsi="inherit" w:cs="Times New Roman"/>
          <w:color w:val="333333"/>
          <w:kern w:val="36"/>
          <w:sz w:val="50"/>
          <w:szCs w:val="50"/>
        </w:rPr>
      </w:pPr>
    </w:p>
    <w:p w:rsidR="000C258D" w:rsidRDefault="000C258D" w:rsidP="000C258D">
      <w:pPr>
        <w:shd w:val="clear" w:color="auto" w:fill="FFFFFF"/>
        <w:spacing w:after="150" w:line="240" w:lineRule="auto"/>
        <w:rPr>
          <w:rFonts w:ascii="Calibri" w:eastAsia="Times New Roman" w:hAnsi="Calibri" w:cs="Times New Roman"/>
          <w:color w:val="333333"/>
          <w:sz w:val="21"/>
          <w:szCs w:val="21"/>
        </w:rPr>
      </w:pPr>
      <w:r w:rsidRPr="000C258D">
        <w:rPr>
          <w:rFonts w:ascii="Calibri" w:eastAsia="Times New Roman" w:hAnsi="Calibri" w:cs="Times New Roman"/>
          <w:i/>
          <w:iCs/>
          <w:color w:val="333333"/>
          <w:sz w:val="21"/>
        </w:rPr>
        <w:t>Paris, 21 October 2016</w:t>
      </w:r>
      <w:r w:rsidRPr="000C258D">
        <w:rPr>
          <w:rFonts w:ascii="Calibri" w:eastAsia="Times New Roman" w:hAnsi="Calibri" w:cs="Times New Roman"/>
          <w:color w:val="333333"/>
          <w:sz w:val="21"/>
        </w:rPr>
        <w:t> </w:t>
      </w:r>
      <w:r w:rsidRPr="000C258D">
        <w:rPr>
          <w:rFonts w:ascii="Calibri" w:eastAsia="Times New Roman" w:hAnsi="Calibri" w:cs="Times New Roman"/>
          <w:color w:val="333333"/>
          <w:sz w:val="21"/>
          <w:szCs w:val="21"/>
        </w:rPr>
        <w:t>- The Financial Action Task Force (FATF) is the global standard setting body for anti-money laundering and combating the financing of terrorism (AML/CFT). In order to protect the international financial system from money laundering and financing of terrorism (ML/FT) risks and to encourage greater compliance with the AML/CFT standards, the FATF identified jurisdictions that have strategic deficiencies and works with them to address those deficiencies that pose a risk to the international financial system.</w:t>
      </w:r>
    </w:p>
    <w:p w:rsidR="0044154F" w:rsidRPr="000C258D" w:rsidRDefault="0044154F" w:rsidP="000C258D">
      <w:pPr>
        <w:shd w:val="clear" w:color="auto" w:fill="FFFFFF"/>
        <w:spacing w:after="150" w:line="240" w:lineRule="auto"/>
        <w:rPr>
          <w:rFonts w:ascii="Calibri" w:eastAsia="Times New Roman" w:hAnsi="Calibri" w:cs="Times New Roman"/>
          <w:color w:val="333333"/>
          <w:sz w:val="21"/>
          <w:szCs w:val="21"/>
        </w:rPr>
      </w:pPr>
    </w:p>
    <w:tbl>
      <w:tblPr>
        <w:tblW w:w="0" w:type="auto"/>
        <w:tblBorders>
          <w:top w:val="single" w:sz="36" w:space="0" w:color="DCDCDC"/>
          <w:left w:val="single" w:sz="36" w:space="0" w:color="DCDCDC"/>
          <w:bottom w:val="single" w:sz="36" w:space="0" w:color="DCDCDC"/>
          <w:right w:val="single" w:sz="36" w:space="0" w:color="DCDCDC"/>
        </w:tblBorders>
        <w:shd w:val="clear" w:color="auto" w:fill="DCDCDC"/>
        <w:tblCellMar>
          <w:top w:w="75" w:type="dxa"/>
          <w:left w:w="75" w:type="dxa"/>
          <w:bottom w:w="75" w:type="dxa"/>
          <w:right w:w="75" w:type="dxa"/>
        </w:tblCellMar>
        <w:tblLook w:val="04A0"/>
      </w:tblPr>
      <w:tblGrid>
        <w:gridCol w:w="9376"/>
      </w:tblGrid>
      <w:tr w:rsidR="000C258D" w:rsidRPr="000C258D" w:rsidTr="000C258D">
        <w:tc>
          <w:tcPr>
            <w:tcW w:w="0" w:type="auto"/>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vAlign w:val="center"/>
            <w:hideMark/>
          </w:tcPr>
          <w:p w:rsidR="000C258D" w:rsidRPr="000C258D" w:rsidRDefault="000C258D" w:rsidP="000C258D">
            <w:pPr>
              <w:spacing w:after="150" w:line="240" w:lineRule="auto"/>
              <w:rPr>
                <w:rFonts w:ascii="Times New Roman" w:eastAsia="Times New Roman" w:hAnsi="Times New Roman" w:cs="Times New Roman"/>
                <w:sz w:val="24"/>
                <w:szCs w:val="24"/>
              </w:rPr>
            </w:pPr>
            <w:r w:rsidRPr="000C258D">
              <w:rPr>
                <w:rFonts w:ascii="Times New Roman" w:eastAsia="Times New Roman" w:hAnsi="Times New Roman" w:cs="Times New Roman"/>
                <w:b/>
                <w:bCs/>
                <w:i/>
                <w:iCs/>
                <w:sz w:val="24"/>
                <w:szCs w:val="24"/>
              </w:rPr>
              <w:t>Jurisdiction subject to a FATF call on its members and other jurisdictions to apply counter-measures to protect the international financial system from the on-going and substantial money laundering and terrorist financing (ML/FT) risks</w:t>
            </w:r>
          </w:p>
          <w:p w:rsidR="000C258D" w:rsidRPr="000C258D" w:rsidRDefault="000C258D" w:rsidP="000C258D">
            <w:pPr>
              <w:spacing w:after="0" w:line="240" w:lineRule="auto"/>
              <w:outlineLvl w:val="3"/>
              <w:rPr>
                <w:rFonts w:ascii="inherit" w:eastAsia="Times New Roman" w:hAnsi="inherit" w:cs="Times New Roman"/>
                <w:b/>
                <w:bCs/>
                <w:sz w:val="32"/>
                <w:szCs w:val="32"/>
              </w:rPr>
            </w:pPr>
            <w:r w:rsidRPr="000C258D">
              <w:rPr>
                <w:rFonts w:ascii="inherit" w:eastAsia="Times New Roman" w:hAnsi="inherit" w:cs="Times New Roman"/>
                <w:b/>
                <w:bCs/>
                <w:sz w:val="32"/>
                <w:szCs w:val="32"/>
              </w:rPr>
              <w:t>Democratic People's Republic of Korea (DPRK)</w:t>
            </w:r>
          </w:p>
          <w:p w:rsidR="000C258D" w:rsidRPr="000C258D" w:rsidRDefault="000C258D" w:rsidP="000C258D">
            <w:pPr>
              <w:spacing w:after="150" w:line="240" w:lineRule="auto"/>
              <w:rPr>
                <w:rFonts w:ascii="Times New Roman" w:eastAsia="Times New Roman" w:hAnsi="Times New Roman" w:cs="Times New Roman"/>
                <w:sz w:val="24"/>
                <w:szCs w:val="24"/>
              </w:rPr>
            </w:pPr>
            <w:r w:rsidRPr="000C258D">
              <w:rPr>
                <w:rFonts w:ascii="Times New Roman" w:eastAsia="Times New Roman" w:hAnsi="Times New Roman" w:cs="Times New Roman"/>
                <w:sz w:val="24"/>
                <w:szCs w:val="24"/>
              </w:rPr>
              <w:t xml:space="preserve">The FATF remains concerned by the DPRK’s failure to address the significant deficiencies in its anti-money laundering and combating the financing of terrorism (AML/CFT) regime and the serious threat this poses to the integrity of the international financial system. The FATF urges the DPRK to immediately and meaningfully address its AML/CFT deficiencies. Further, FATF has serious concerns with the threat posed by DPRK’s illicit activities related to the proliferation of weapons of mass destruction (WMDs) and </w:t>
            </w:r>
            <w:proofErr w:type="gramStart"/>
            <w:r w:rsidRPr="000C258D">
              <w:rPr>
                <w:rFonts w:ascii="Times New Roman" w:eastAsia="Times New Roman" w:hAnsi="Times New Roman" w:cs="Times New Roman"/>
                <w:sz w:val="24"/>
                <w:szCs w:val="24"/>
              </w:rPr>
              <w:t>its</w:t>
            </w:r>
            <w:proofErr w:type="gramEnd"/>
            <w:r w:rsidRPr="000C258D">
              <w:rPr>
                <w:rFonts w:ascii="Times New Roman" w:eastAsia="Times New Roman" w:hAnsi="Times New Roman" w:cs="Times New Roman"/>
                <w:sz w:val="24"/>
                <w:szCs w:val="24"/>
              </w:rPr>
              <w:t xml:space="preserve"> financing.</w:t>
            </w:r>
            <w:r w:rsidRPr="000C258D">
              <w:rPr>
                <w:rFonts w:ascii="Times New Roman" w:eastAsia="Times New Roman" w:hAnsi="Times New Roman" w:cs="Times New Roman"/>
                <w:sz w:val="24"/>
                <w:szCs w:val="24"/>
              </w:rPr>
              <w:br/>
              <w:t>The FATF reaffirms its 25 February 2011 call on its members and urges all jurisdictions to advise their financial institutions to give special attention to business relationships and transactions with the DPRK, including DPRK companies, financial institutions and those acting on their behalf. In addition to enhanced scrutiny, the FATF further calls on its members and urges all jurisdictions to apply effective counter-measures, and targeted financial sanctions in accordance with applicable United Nations Security Council Resolutions, to protect their financial sectors from money laundering, financing of terrorism and WMD proliferation financing (ML/FT/PF) risks emanating from the DPRK. Jurisdictions should take necessary measures to close existing branches, subsidiaries and representative offices of DPRK banks within their territories and terminate correspondent relationships with DPRK banks, where required by relevant UNSC Resolutions.</w:t>
            </w:r>
          </w:p>
        </w:tc>
      </w:tr>
    </w:tbl>
    <w:p w:rsidR="000C258D" w:rsidRPr="000C258D" w:rsidRDefault="000C258D" w:rsidP="000C258D">
      <w:pPr>
        <w:shd w:val="clear" w:color="auto" w:fill="FFFFFF"/>
        <w:spacing w:after="150" w:line="240" w:lineRule="auto"/>
        <w:rPr>
          <w:rFonts w:ascii="Calibri" w:eastAsia="Times New Roman" w:hAnsi="Calibri" w:cs="Times New Roman"/>
          <w:color w:val="333333"/>
          <w:sz w:val="21"/>
          <w:szCs w:val="21"/>
        </w:rPr>
      </w:pPr>
      <w:r w:rsidRPr="000C258D">
        <w:rPr>
          <w:rFonts w:ascii="Calibri" w:eastAsia="Times New Roman" w:hAnsi="Calibri" w:cs="Times New Roman"/>
          <w:b/>
          <w:bCs/>
          <w:i/>
          <w:iCs/>
          <w:color w:val="333333"/>
          <w:sz w:val="21"/>
        </w:rPr>
        <w:t> </w:t>
      </w:r>
    </w:p>
    <w:p w:rsidR="000C258D" w:rsidRPr="000C258D" w:rsidRDefault="000C258D" w:rsidP="000C258D">
      <w:pPr>
        <w:shd w:val="clear" w:color="auto" w:fill="FFFFFF"/>
        <w:spacing w:after="150" w:line="240" w:lineRule="auto"/>
        <w:rPr>
          <w:rFonts w:ascii="Calibri" w:eastAsia="Times New Roman" w:hAnsi="Calibri" w:cs="Times New Roman"/>
          <w:color w:val="333333"/>
          <w:sz w:val="21"/>
          <w:szCs w:val="21"/>
        </w:rPr>
      </w:pPr>
      <w:r w:rsidRPr="000C258D">
        <w:rPr>
          <w:rFonts w:ascii="Calibri" w:eastAsia="Times New Roman" w:hAnsi="Calibri" w:cs="Times New Roman"/>
          <w:b/>
          <w:bCs/>
          <w:i/>
          <w:iCs/>
          <w:color w:val="333333"/>
          <w:sz w:val="21"/>
        </w:rPr>
        <w:t>Jurisdiction subject to a FATF call on its members and other jurisdictions to apply enhanced due diligence measures proportionate to the risks arising from the jurisdiction</w:t>
      </w:r>
    </w:p>
    <w:p w:rsidR="000C258D" w:rsidRPr="000C258D" w:rsidRDefault="000C258D" w:rsidP="000C258D">
      <w:pPr>
        <w:shd w:val="clear" w:color="auto" w:fill="FFFFFF"/>
        <w:spacing w:after="0" w:line="240" w:lineRule="auto"/>
        <w:outlineLvl w:val="3"/>
        <w:rPr>
          <w:rFonts w:ascii="inherit" w:eastAsia="Times New Roman" w:hAnsi="inherit" w:cs="Times New Roman"/>
          <w:b/>
          <w:bCs/>
          <w:color w:val="333333"/>
          <w:sz w:val="28"/>
          <w:szCs w:val="28"/>
        </w:rPr>
      </w:pPr>
      <w:r w:rsidRPr="000C258D">
        <w:rPr>
          <w:rFonts w:ascii="inherit" w:eastAsia="Times New Roman" w:hAnsi="inherit" w:cs="Times New Roman"/>
          <w:b/>
          <w:bCs/>
          <w:color w:val="333333"/>
          <w:sz w:val="28"/>
          <w:szCs w:val="28"/>
        </w:rPr>
        <w:t>Iran</w:t>
      </w:r>
    </w:p>
    <w:p w:rsidR="000C258D" w:rsidRDefault="000C258D" w:rsidP="000C258D">
      <w:pPr>
        <w:shd w:val="clear" w:color="auto" w:fill="FFFFFF"/>
        <w:spacing w:after="150" w:line="240" w:lineRule="auto"/>
        <w:rPr>
          <w:rFonts w:ascii="Calibri" w:eastAsia="Times New Roman" w:hAnsi="Calibri" w:cs="Times New Roman"/>
          <w:color w:val="333333"/>
          <w:sz w:val="21"/>
          <w:szCs w:val="21"/>
        </w:rPr>
      </w:pPr>
      <w:r w:rsidRPr="000C258D">
        <w:rPr>
          <w:rFonts w:ascii="Calibri" w:eastAsia="Times New Roman" w:hAnsi="Calibri" w:cs="Times New Roman"/>
          <w:color w:val="333333"/>
          <w:sz w:val="21"/>
          <w:szCs w:val="21"/>
        </w:rPr>
        <w:t>In June 2016, the FATF welcomed Iran’s adoption of, and high-level political commitment to, an Action Plan to address its strategic AML/CFT deficiencies, and its decision to seek technical assistance in the implementation of the Action Plan. Accordingly, in June 2016, the FATF suspended counter-measures for twelve months in order to monitor Iran’s progress in implementing the Action Plan. If the FATF determines that Iran has not demonstrated sufficient progress in implementing the Action Plan at the end of that period, FATF’s call for counter-measures will be re-imposed. If Iran meets its commitments under the Action Plan in that time period, the FATF will consider next steps in this regard.</w:t>
      </w:r>
    </w:p>
    <w:p w:rsidR="000C258D" w:rsidRDefault="000C258D" w:rsidP="000C258D">
      <w:pPr>
        <w:shd w:val="clear" w:color="auto" w:fill="FFFFFF"/>
        <w:spacing w:after="150" w:line="240" w:lineRule="auto"/>
        <w:rPr>
          <w:rFonts w:ascii="Calibri" w:eastAsia="Times New Roman" w:hAnsi="Calibri" w:cs="Times New Roman"/>
          <w:color w:val="333333"/>
          <w:sz w:val="21"/>
          <w:szCs w:val="21"/>
        </w:rPr>
      </w:pPr>
    </w:p>
    <w:p w:rsidR="000C258D" w:rsidRDefault="000C258D" w:rsidP="000C258D">
      <w:pPr>
        <w:shd w:val="clear" w:color="auto" w:fill="FFFFFF"/>
        <w:spacing w:after="150" w:line="240" w:lineRule="auto"/>
        <w:rPr>
          <w:rFonts w:ascii="Calibri" w:eastAsia="Times New Roman" w:hAnsi="Calibri" w:cs="Times New Roman"/>
          <w:color w:val="333333"/>
          <w:sz w:val="21"/>
          <w:szCs w:val="21"/>
        </w:rPr>
      </w:pPr>
    </w:p>
    <w:p w:rsidR="000C258D" w:rsidRDefault="000C258D" w:rsidP="000C258D">
      <w:pPr>
        <w:shd w:val="clear" w:color="auto" w:fill="FFFFFF"/>
        <w:spacing w:after="150" w:line="240" w:lineRule="auto"/>
        <w:rPr>
          <w:rFonts w:ascii="Calibri" w:eastAsia="Times New Roman" w:hAnsi="Calibri" w:cs="Times New Roman"/>
          <w:color w:val="333333"/>
          <w:sz w:val="21"/>
          <w:szCs w:val="21"/>
        </w:rPr>
      </w:pPr>
    </w:p>
    <w:p w:rsidR="000C258D" w:rsidRPr="000C258D" w:rsidRDefault="000C258D" w:rsidP="000C258D">
      <w:pPr>
        <w:shd w:val="clear" w:color="auto" w:fill="FFFFFF"/>
        <w:spacing w:after="150" w:line="240" w:lineRule="auto"/>
        <w:rPr>
          <w:rFonts w:ascii="Calibri" w:eastAsia="Times New Roman" w:hAnsi="Calibri" w:cs="Times New Roman"/>
          <w:color w:val="333333"/>
          <w:sz w:val="21"/>
          <w:szCs w:val="21"/>
        </w:rPr>
      </w:pPr>
    </w:p>
    <w:p w:rsidR="000C258D" w:rsidRPr="000C258D" w:rsidRDefault="000C258D" w:rsidP="000C258D">
      <w:pPr>
        <w:shd w:val="clear" w:color="auto" w:fill="FFFFFF"/>
        <w:spacing w:after="150" w:line="240" w:lineRule="auto"/>
        <w:rPr>
          <w:rFonts w:ascii="Calibri" w:eastAsia="Times New Roman" w:hAnsi="Calibri" w:cs="Times New Roman"/>
          <w:color w:val="333333"/>
          <w:sz w:val="21"/>
          <w:szCs w:val="21"/>
        </w:rPr>
      </w:pPr>
      <w:r w:rsidRPr="000C258D">
        <w:rPr>
          <w:rFonts w:ascii="Calibri" w:eastAsia="Times New Roman" w:hAnsi="Calibri" w:cs="Times New Roman"/>
          <w:color w:val="333333"/>
          <w:sz w:val="21"/>
          <w:szCs w:val="21"/>
        </w:rPr>
        <w:t>Iran will remain on the FATF Public Statement until the full Action Plan has been completed. Until Iran implements the measures required to address the deficiencies identified in the Action Plan, the FATF will remain concerned with the terrorist financing risk emanating from Iran and the threat this poses to the international financial system. The FATF, therefore, calls on its members and urges all jurisdictions to continue to advise their financial institutions to apply enhanced due diligence to business relationships and transactions with natural and legal persons from Iran, consistent with FATF Recommendation 19. The FATF urges Iran to fully address its AML/CFT deficiencies, in particular those related to terrorist financing.</w:t>
      </w:r>
    </w:p>
    <w:p w:rsidR="000C258D" w:rsidRPr="000C258D" w:rsidRDefault="000C258D" w:rsidP="000C258D">
      <w:pPr>
        <w:shd w:val="clear" w:color="auto" w:fill="FFFFFF"/>
        <w:spacing w:after="150" w:line="240" w:lineRule="auto"/>
        <w:rPr>
          <w:rFonts w:ascii="Calibri" w:eastAsia="Times New Roman" w:hAnsi="Calibri" w:cs="Times New Roman"/>
          <w:color w:val="333333"/>
          <w:sz w:val="21"/>
          <w:szCs w:val="21"/>
        </w:rPr>
      </w:pPr>
      <w:r w:rsidRPr="000C258D">
        <w:rPr>
          <w:rFonts w:ascii="Calibri" w:eastAsia="Times New Roman" w:hAnsi="Calibri" w:cs="Times New Roman"/>
          <w:color w:val="333333"/>
          <w:sz w:val="21"/>
          <w:szCs w:val="21"/>
        </w:rPr>
        <w:t>The FATF will continue to engage with Iran and closely monitor its progress.</w:t>
      </w:r>
    </w:p>
    <w:p w:rsidR="004312B2" w:rsidRDefault="004312B2"/>
    <w:sectPr w:rsidR="004312B2" w:rsidSect="004312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C258D"/>
    <w:rsid w:val="000C258D"/>
    <w:rsid w:val="004312B2"/>
    <w:rsid w:val="00441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B2"/>
  </w:style>
  <w:style w:type="paragraph" w:styleId="Heading1">
    <w:name w:val="heading 1"/>
    <w:basedOn w:val="Normal"/>
    <w:link w:val="Heading1Char"/>
    <w:uiPriority w:val="9"/>
    <w:qFormat/>
    <w:rsid w:val="000C25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C25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58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C258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C258D"/>
    <w:rPr>
      <w:color w:val="0000FF"/>
      <w:u w:val="single"/>
    </w:rPr>
  </w:style>
  <w:style w:type="paragraph" w:styleId="NormalWeb">
    <w:name w:val="Normal (Web)"/>
    <w:basedOn w:val="Normal"/>
    <w:uiPriority w:val="99"/>
    <w:unhideWhenUsed/>
    <w:rsid w:val="000C25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258D"/>
    <w:rPr>
      <w:i/>
      <w:iCs/>
    </w:rPr>
  </w:style>
  <w:style w:type="character" w:customStyle="1" w:styleId="apple-converted-space">
    <w:name w:val="apple-converted-space"/>
    <w:basedOn w:val="DefaultParagraphFont"/>
    <w:rsid w:val="000C258D"/>
  </w:style>
  <w:style w:type="character" w:styleId="Strong">
    <w:name w:val="Strong"/>
    <w:basedOn w:val="DefaultParagraphFont"/>
    <w:uiPriority w:val="22"/>
    <w:qFormat/>
    <w:rsid w:val="000C258D"/>
    <w:rPr>
      <w:b/>
      <w:bCs/>
    </w:rPr>
  </w:style>
</w:styles>
</file>

<file path=word/webSettings.xml><?xml version="1.0" encoding="utf-8"?>
<w:webSettings xmlns:r="http://schemas.openxmlformats.org/officeDocument/2006/relationships" xmlns:w="http://schemas.openxmlformats.org/wordprocessingml/2006/main">
  <w:divs>
    <w:div w:id="1879583146">
      <w:bodyDiv w:val="1"/>
      <w:marLeft w:val="0"/>
      <w:marRight w:val="0"/>
      <w:marTop w:val="0"/>
      <w:marBottom w:val="0"/>
      <w:divBdr>
        <w:top w:val="none" w:sz="0" w:space="0" w:color="auto"/>
        <w:left w:val="none" w:sz="0" w:space="0" w:color="auto"/>
        <w:bottom w:val="none" w:sz="0" w:space="0" w:color="auto"/>
        <w:right w:val="none" w:sz="0" w:space="0" w:color="auto"/>
      </w:divBdr>
      <w:divsChild>
        <w:div w:id="840774861">
          <w:marLeft w:val="-225"/>
          <w:marRight w:val="-225"/>
          <w:marTop w:val="450"/>
          <w:marBottom w:val="300"/>
          <w:divBdr>
            <w:top w:val="none" w:sz="0" w:space="0" w:color="auto"/>
            <w:left w:val="none" w:sz="0" w:space="0" w:color="auto"/>
            <w:bottom w:val="none" w:sz="0" w:space="0" w:color="auto"/>
            <w:right w:val="none" w:sz="0" w:space="0" w:color="auto"/>
          </w:divBdr>
          <w:divsChild>
            <w:div w:id="1836870914">
              <w:marLeft w:val="0"/>
              <w:marRight w:val="0"/>
              <w:marTop w:val="0"/>
              <w:marBottom w:val="0"/>
              <w:divBdr>
                <w:top w:val="none" w:sz="0" w:space="0" w:color="auto"/>
                <w:left w:val="none" w:sz="0" w:space="0" w:color="auto"/>
                <w:bottom w:val="none" w:sz="0" w:space="0" w:color="auto"/>
                <w:right w:val="none" w:sz="0" w:space="0" w:color="auto"/>
              </w:divBdr>
            </w:div>
            <w:div w:id="539243785">
              <w:marLeft w:val="0"/>
              <w:marRight w:val="0"/>
              <w:marTop w:val="150"/>
              <w:marBottom w:val="0"/>
              <w:divBdr>
                <w:top w:val="none" w:sz="0" w:space="0" w:color="auto"/>
                <w:left w:val="none" w:sz="0" w:space="0" w:color="auto"/>
                <w:bottom w:val="none" w:sz="0" w:space="0" w:color="auto"/>
                <w:right w:val="none" w:sz="0" w:space="0" w:color="auto"/>
              </w:divBdr>
              <w:divsChild>
                <w:div w:id="1999191429">
                  <w:marLeft w:val="0"/>
                  <w:marRight w:val="0"/>
                  <w:marTop w:val="0"/>
                  <w:marBottom w:val="0"/>
                  <w:divBdr>
                    <w:top w:val="none" w:sz="0" w:space="0" w:color="auto"/>
                    <w:left w:val="none" w:sz="0" w:space="0" w:color="auto"/>
                    <w:bottom w:val="none" w:sz="0" w:space="0" w:color="auto"/>
                    <w:right w:val="none" w:sz="0" w:space="0" w:color="auto"/>
                  </w:divBdr>
                  <w:divsChild>
                    <w:div w:id="181939499">
                      <w:marLeft w:val="0"/>
                      <w:marRight w:val="0"/>
                      <w:marTop w:val="0"/>
                      <w:marBottom w:val="0"/>
                      <w:divBdr>
                        <w:top w:val="none" w:sz="0" w:space="0" w:color="auto"/>
                        <w:left w:val="none" w:sz="0" w:space="0" w:color="auto"/>
                        <w:bottom w:val="none" w:sz="0" w:space="0" w:color="auto"/>
                        <w:right w:val="none" w:sz="0" w:space="0" w:color="auto"/>
                      </w:divBdr>
                    </w:div>
                    <w:div w:id="1338389884">
                      <w:marLeft w:val="0"/>
                      <w:marRight w:val="0"/>
                      <w:marTop w:val="0"/>
                      <w:marBottom w:val="0"/>
                      <w:divBdr>
                        <w:top w:val="none" w:sz="0" w:space="0" w:color="auto"/>
                        <w:left w:val="none" w:sz="0" w:space="0" w:color="auto"/>
                        <w:bottom w:val="none" w:sz="0" w:space="0" w:color="auto"/>
                        <w:right w:val="none" w:sz="0" w:space="0" w:color="auto"/>
                      </w:divBdr>
                    </w:div>
                    <w:div w:id="15695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3816">
          <w:marLeft w:val="-225"/>
          <w:marRight w:val="-225"/>
          <w:marTop w:val="300"/>
          <w:marBottom w:val="0"/>
          <w:divBdr>
            <w:top w:val="none" w:sz="0" w:space="0" w:color="auto"/>
            <w:left w:val="none" w:sz="0" w:space="0" w:color="auto"/>
            <w:bottom w:val="none" w:sz="0" w:space="0" w:color="auto"/>
            <w:right w:val="none" w:sz="0" w:space="0" w:color="auto"/>
          </w:divBdr>
          <w:divsChild>
            <w:div w:id="10026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3431</Characters>
  <Application>Microsoft Office Word</Application>
  <DocSecurity>0</DocSecurity>
  <Lines>28</Lines>
  <Paragraphs>8</Paragraphs>
  <ScaleCrop>false</ScaleCrop>
  <Company>Microsoft</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Dunila Cuffy</cp:lastModifiedBy>
  <cp:revision>2</cp:revision>
  <dcterms:created xsi:type="dcterms:W3CDTF">2016-11-16T18:25:00Z</dcterms:created>
  <dcterms:modified xsi:type="dcterms:W3CDTF">2016-11-16T18:26:00Z</dcterms:modified>
</cp:coreProperties>
</file>