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BEE" w:rsidRDefault="00407BEE" w:rsidP="00BE0A6B">
      <w:pPr>
        <w:jc w:val="both"/>
      </w:pPr>
    </w:p>
    <w:p w:rsidR="00407BEE" w:rsidRPr="008B2F80" w:rsidRDefault="00407BEE" w:rsidP="008B2F80">
      <w:pPr>
        <w:jc w:val="center"/>
        <w:rPr>
          <w:sz w:val="28"/>
          <w:szCs w:val="28"/>
        </w:rPr>
      </w:pPr>
      <w:r w:rsidRPr="008B2F80">
        <w:rPr>
          <w:sz w:val="28"/>
          <w:szCs w:val="28"/>
        </w:rPr>
        <w:t>WARNING NOTICE</w:t>
      </w:r>
    </w:p>
    <w:p w:rsidR="00407BEE" w:rsidRDefault="00407BEE" w:rsidP="00BE0A6B">
      <w:pPr>
        <w:jc w:val="both"/>
      </w:pPr>
    </w:p>
    <w:p w:rsidR="0066259E" w:rsidRDefault="0066259E" w:rsidP="008B2F80">
      <w:pPr>
        <w:jc w:val="center"/>
        <w:rPr>
          <w:b/>
        </w:rPr>
      </w:pPr>
      <w:r>
        <w:rPr>
          <w:b/>
        </w:rPr>
        <w:t xml:space="preserve">THE CENTRAL AFRICAN REPUBLIC (SANCTIONS) (OVERSEAS TERRITORIES) </w:t>
      </w:r>
    </w:p>
    <w:p w:rsidR="00407BEE" w:rsidRPr="008B2F80" w:rsidRDefault="0066259E" w:rsidP="008B2F80">
      <w:pPr>
        <w:jc w:val="center"/>
        <w:rPr>
          <w:b/>
        </w:rPr>
      </w:pPr>
      <w:r>
        <w:rPr>
          <w:b/>
        </w:rPr>
        <w:t>ORDER 2014</w:t>
      </w:r>
    </w:p>
    <w:p w:rsidR="00407BEE" w:rsidRDefault="00407BEE" w:rsidP="00BE0A6B">
      <w:pPr>
        <w:jc w:val="both"/>
      </w:pPr>
    </w:p>
    <w:p w:rsidR="00407BEE" w:rsidRDefault="00407BEE" w:rsidP="00BE0A6B">
      <w:pPr>
        <w:jc w:val="both"/>
      </w:pPr>
    </w:p>
    <w:p w:rsidR="00407BEE" w:rsidRDefault="00407BEE" w:rsidP="00BE0A6B">
      <w:pPr>
        <w:jc w:val="both"/>
      </w:pPr>
      <w:r>
        <w:t xml:space="preserve">The Montserrat Financial Services </w:t>
      </w:r>
      <w:r w:rsidR="0066259E">
        <w:t>Commission (</w:t>
      </w:r>
      <w:r>
        <w:t xml:space="preserve">“the FSC”) is advising the public that the </w:t>
      </w:r>
      <w:r w:rsidR="0066259E">
        <w:t xml:space="preserve">Central African Republic (Sanctions) (Overseas Territories) Order 2014 </w:t>
      </w:r>
      <w:r>
        <w:t xml:space="preserve">was extended to the territory of Montserrat and came into force </w:t>
      </w:r>
      <w:r w:rsidR="0066259E">
        <w:t>24 June</w:t>
      </w:r>
      <w:r>
        <w:t xml:space="preserve"> 2014, by vi</w:t>
      </w:r>
      <w:r w:rsidR="00F774DF">
        <w:t>rtue of Schedule 1 of the Order.</w:t>
      </w:r>
    </w:p>
    <w:p w:rsidR="00F774DF" w:rsidRDefault="00F774DF" w:rsidP="00BE0A6B">
      <w:pPr>
        <w:jc w:val="both"/>
      </w:pPr>
    </w:p>
    <w:p w:rsidR="00C80D18" w:rsidRPr="00C80D18" w:rsidRDefault="00C80D18" w:rsidP="00C80D18">
      <w:pPr>
        <w:pStyle w:val="T1"/>
        <w:rPr>
          <w:rFonts w:asciiTheme="minorHAnsi" w:hAnsiTheme="minorHAnsi"/>
          <w:sz w:val="24"/>
          <w:szCs w:val="24"/>
        </w:rPr>
      </w:pPr>
      <w:r w:rsidRPr="00C80D18">
        <w:rPr>
          <w:rFonts w:asciiTheme="minorHAnsi" w:hAnsiTheme="minorHAnsi"/>
          <w:sz w:val="24"/>
          <w:szCs w:val="24"/>
        </w:rPr>
        <w:t>The sanctions imposed include an arms embargo and a prohibition on the supply of related assistance to the Central African Republic, including the supply of armed mercenary personnel, and an asset freeze against persons designated by the United Nations Security Council as:</w:t>
      </w:r>
    </w:p>
    <w:p w:rsidR="00C80D18" w:rsidRPr="00C80D18" w:rsidRDefault="00C80D18" w:rsidP="00C80D18">
      <w:pPr>
        <w:pStyle w:val="N3"/>
        <w:numPr>
          <w:ilvl w:val="2"/>
          <w:numId w:val="4"/>
        </w:numPr>
        <w:rPr>
          <w:rFonts w:asciiTheme="minorHAnsi" w:hAnsiTheme="minorHAnsi"/>
          <w:sz w:val="24"/>
          <w:szCs w:val="24"/>
        </w:rPr>
      </w:pPr>
      <w:r w:rsidRPr="00C80D18">
        <w:rPr>
          <w:rFonts w:asciiTheme="minorHAnsi" w:hAnsiTheme="minorHAnsi"/>
          <w:sz w:val="24"/>
          <w:szCs w:val="24"/>
        </w:rPr>
        <w:t>engaging in or providing support for acts that undermine the peace, stability or security of the Central African Republic, or that fuel violence;</w:t>
      </w:r>
    </w:p>
    <w:p w:rsidR="00C80D18" w:rsidRPr="00C80D18" w:rsidRDefault="00C80D18" w:rsidP="00C80D18">
      <w:pPr>
        <w:pStyle w:val="N3"/>
        <w:rPr>
          <w:rFonts w:asciiTheme="minorHAnsi" w:hAnsiTheme="minorHAnsi"/>
          <w:sz w:val="24"/>
          <w:szCs w:val="24"/>
        </w:rPr>
      </w:pPr>
      <w:r w:rsidRPr="00C80D18">
        <w:rPr>
          <w:rFonts w:asciiTheme="minorHAnsi" w:hAnsiTheme="minorHAnsi"/>
          <w:sz w:val="24"/>
          <w:szCs w:val="24"/>
        </w:rPr>
        <w:t>acting in violation of the arms embargo established in paragraph 54 of resolution 2127 (2013);</w:t>
      </w:r>
    </w:p>
    <w:p w:rsidR="00C80D18" w:rsidRPr="00C80D18" w:rsidRDefault="00C80D18" w:rsidP="00C80D18">
      <w:pPr>
        <w:pStyle w:val="N3"/>
        <w:rPr>
          <w:rFonts w:asciiTheme="minorHAnsi" w:hAnsiTheme="minorHAnsi"/>
          <w:sz w:val="24"/>
          <w:szCs w:val="24"/>
        </w:rPr>
      </w:pPr>
      <w:r w:rsidRPr="00C80D18">
        <w:rPr>
          <w:rFonts w:asciiTheme="minorHAnsi" w:hAnsiTheme="minorHAnsi"/>
          <w:sz w:val="24"/>
          <w:szCs w:val="24"/>
        </w:rPr>
        <w:t>being involved in planning, directing, or committing acts that violate international human rights law or international humanitarian law, as applicable, or that constitute human rights abuses or violations, including acts involving sexual violence;</w:t>
      </w:r>
    </w:p>
    <w:p w:rsidR="00C80D18" w:rsidRPr="00C80D18" w:rsidRDefault="00C80D18" w:rsidP="00C80D18">
      <w:pPr>
        <w:pStyle w:val="N3"/>
        <w:rPr>
          <w:rFonts w:asciiTheme="minorHAnsi" w:hAnsiTheme="minorHAnsi"/>
          <w:sz w:val="24"/>
          <w:szCs w:val="24"/>
        </w:rPr>
      </w:pPr>
      <w:r w:rsidRPr="00C80D18">
        <w:rPr>
          <w:rFonts w:asciiTheme="minorHAnsi" w:hAnsiTheme="minorHAnsi"/>
          <w:sz w:val="24"/>
          <w:szCs w:val="24"/>
        </w:rPr>
        <w:t>recruiting or using children in armed conflict in the Central African Republic, in violation of applicable international law;</w:t>
      </w:r>
    </w:p>
    <w:p w:rsidR="00C80D18" w:rsidRPr="00C80D18" w:rsidRDefault="00C80D18" w:rsidP="00C80D18">
      <w:pPr>
        <w:pStyle w:val="N3"/>
        <w:rPr>
          <w:rFonts w:asciiTheme="minorHAnsi" w:hAnsiTheme="minorHAnsi"/>
          <w:sz w:val="24"/>
          <w:szCs w:val="24"/>
        </w:rPr>
      </w:pPr>
      <w:r w:rsidRPr="00C80D18">
        <w:rPr>
          <w:rFonts w:asciiTheme="minorHAnsi" w:hAnsiTheme="minorHAnsi"/>
          <w:sz w:val="24"/>
          <w:szCs w:val="24"/>
        </w:rPr>
        <w:t>providing support for armed groups or criminal networks through the illicit exploitation of natural resources, including diamonds and wildlife and wildlife products, in the Central African Republic;</w:t>
      </w:r>
    </w:p>
    <w:p w:rsidR="00C80D18" w:rsidRPr="00C80D18" w:rsidRDefault="00C80D18" w:rsidP="00C80D18">
      <w:pPr>
        <w:pStyle w:val="N3"/>
        <w:rPr>
          <w:rFonts w:asciiTheme="minorHAnsi" w:hAnsiTheme="minorHAnsi"/>
          <w:sz w:val="24"/>
          <w:szCs w:val="24"/>
        </w:rPr>
      </w:pPr>
      <w:r w:rsidRPr="00C80D18">
        <w:rPr>
          <w:rFonts w:asciiTheme="minorHAnsi" w:hAnsiTheme="minorHAnsi"/>
          <w:sz w:val="24"/>
          <w:szCs w:val="24"/>
        </w:rPr>
        <w:t>obstructing the delivery of humanitarian assistance to the Central African Republic;</w:t>
      </w:r>
    </w:p>
    <w:p w:rsidR="00C80D18" w:rsidRPr="00C80D18" w:rsidRDefault="00C80D18" w:rsidP="00C80D18">
      <w:pPr>
        <w:pStyle w:val="N3"/>
        <w:rPr>
          <w:rFonts w:asciiTheme="minorHAnsi" w:hAnsiTheme="minorHAnsi"/>
          <w:sz w:val="24"/>
          <w:szCs w:val="24"/>
        </w:rPr>
      </w:pPr>
      <w:r w:rsidRPr="00C80D18">
        <w:rPr>
          <w:rFonts w:asciiTheme="minorHAnsi" w:hAnsiTheme="minorHAnsi"/>
          <w:sz w:val="24"/>
          <w:szCs w:val="24"/>
        </w:rPr>
        <w:t>being involved in planning, directing, sponsoring, or conducting attacks against UN missions or other international security presences;</w:t>
      </w:r>
    </w:p>
    <w:p w:rsidR="00C80D18" w:rsidRPr="00C80D18" w:rsidRDefault="00C80D18" w:rsidP="00C80D18">
      <w:pPr>
        <w:pStyle w:val="N3"/>
        <w:rPr>
          <w:rFonts w:asciiTheme="minorHAnsi" w:hAnsiTheme="minorHAnsi"/>
          <w:sz w:val="24"/>
          <w:szCs w:val="24"/>
        </w:rPr>
      </w:pPr>
      <w:r w:rsidRPr="00C80D18">
        <w:rPr>
          <w:rFonts w:asciiTheme="minorHAnsi" w:hAnsiTheme="minorHAnsi"/>
          <w:sz w:val="24"/>
          <w:szCs w:val="24"/>
        </w:rPr>
        <w:t>being leaders of, having provided support to, or having acted for or on behalf of or at the direction of, an entity designated by the Security Council Sanctions Committee;</w:t>
      </w:r>
    </w:p>
    <w:p w:rsidR="00C80D18" w:rsidRPr="00C80D18" w:rsidRDefault="00C80D18" w:rsidP="00C80D18">
      <w:pPr>
        <w:pStyle w:val="N3"/>
        <w:rPr>
          <w:rFonts w:asciiTheme="minorHAnsi" w:hAnsiTheme="minorHAnsi"/>
          <w:sz w:val="24"/>
          <w:szCs w:val="24"/>
        </w:rPr>
      </w:pPr>
      <w:proofErr w:type="gramStart"/>
      <w:r w:rsidRPr="00C80D18">
        <w:rPr>
          <w:rFonts w:asciiTheme="minorHAnsi" w:hAnsiTheme="minorHAnsi"/>
          <w:sz w:val="24"/>
          <w:szCs w:val="24"/>
        </w:rPr>
        <w:t>acting</w:t>
      </w:r>
      <w:proofErr w:type="gramEnd"/>
      <w:r w:rsidRPr="00C80D18">
        <w:rPr>
          <w:rFonts w:asciiTheme="minorHAnsi" w:hAnsiTheme="minorHAnsi"/>
          <w:sz w:val="24"/>
          <w:szCs w:val="24"/>
        </w:rPr>
        <w:t xml:space="preserve"> on behalf of or at the direction of persons, entities or bodies listed in points (a) to (h), or entities owned or controlled by them.</w:t>
      </w:r>
    </w:p>
    <w:p w:rsidR="00C80D18" w:rsidRPr="00C80D18" w:rsidRDefault="00C80D18" w:rsidP="00C80D18">
      <w:pPr>
        <w:pStyle w:val="T1"/>
        <w:rPr>
          <w:rFonts w:asciiTheme="minorHAnsi" w:hAnsiTheme="minorHAnsi"/>
          <w:sz w:val="24"/>
          <w:szCs w:val="24"/>
        </w:rPr>
      </w:pPr>
      <w:r w:rsidRPr="00C80D18">
        <w:rPr>
          <w:rFonts w:asciiTheme="minorHAnsi" w:hAnsiTheme="minorHAnsi"/>
          <w:sz w:val="24"/>
          <w:szCs w:val="24"/>
        </w:rPr>
        <w:t>The Order makes provision for the Governor to license certain activities in line with exemptions under the sanctions regime.</w:t>
      </w:r>
    </w:p>
    <w:p w:rsidR="00C80D18" w:rsidRDefault="00C80D18" w:rsidP="00C80D18">
      <w:pPr>
        <w:pStyle w:val="linespace"/>
      </w:pPr>
    </w:p>
    <w:p w:rsidR="00C80D18" w:rsidRPr="00C80D18" w:rsidRDefault="00C80D18" w:rsidP="00C80D18">
      <w:pPr>
        <w:pStyle w:val="T1"/>
        <w:rPr>
          <w:rFonts w:asciiTheme="minorHAnsi" w:hAnsiTheme="minorHAnsi"/>
          <w:sz w:val="24"/>
          <w:szCs w:val="24"/>
        </w:rPr>
      </w:pPr>
      <w:r w:rsidRPr="00C80D18">
        <w:rPr>
          <w:rFonts w:asciiTheme="minorHAnsi" w:hAnsiTheme="minorHAnsi"/>
          <w:sz w:val="24"/>
          <w:szCs w:val="24"/>
        </w:rPr>
        <w:t>This Order gives effect in</w:t>
      </w:r>
      <w:r>
        <w:rPr>
          <w:rFonts w:asciiTheme="minorHAnsi" w:hAnsiTheme="minorHAnsi"/>
          <w:sz w:val="24"/>
          <w:szCs w:val="24"/>
        </w:rPr>
        <w:t xml:space="preserve"> the territory of Montserrat</w:t>
      </w:r>
      <w:r w:rsidRPr="00C80D18">
        <w:rPr>
          <w:rFonts w:asciiTheme="minorHAnsi" w:hAnsiTheme="minorHAnsi"/>
          <w:sz w:val="24"/>
          <w:szCs w:val="24"/>
        </w:rPr>
        <w:t xml:space="preserve"> to sanctions imposed on the Central African Republic by United Nations Security Council resolutions 2127 (2013) of 5th December 2013 and 2134 (2014) of 28th January 2014. The Order also reflects the implementation of these sanctions by the European Union in Council Decisions 2013/798/CFSP and 2014/125/CFSP.</w:t>
      </w:r>
    </w:p>
    <w:p w:rsidR="00C80D18" w:rsidRDefault="00C80D18" w:rsidP="00BE0A6B">
      <w:pPr>
        <w:jc w:val="both"/>
      </w:pPr>
    </w:p>
    <w:p w:rsidR="00F774DF" w:rsidRDefault="00F774DF" w:rsidP="00BE0A6B">
      <w:pPr>
        <w:jc w:val="both"/>
      </w:pPr>
    </w:p>
    <w:p w:rsidR="00F774DF" w:rsidRDefault="00F774DF" w:rsidP="00BE0A6B">
      <w:pPr>
        <w:jc w:val="both"/>
        <w:rPr>
          <w:b/>
        </w:rPr>
      </w:pPr>
      <w:r>
        <w:rPr>
          <w:b/>
        </w:rPr>
        <w:t>What you must do</w:t>
      </w:r>
    </w:p>
    <w:p w:rsidR="00F774DF" w:rsidRDefault="00F774DF" w:rsidP="00BE0A6B">
      <w:pPr>
        <w:jc w:val="both"/>
        <w:rPr>
          <w:b/>
        </w:rPr>
      </w:pPr>
    </w:p>
    <w:p w:rsidR="00F774DF" w:rsidRDefault="00BE0A6B" w:rsidP="00BE0A6B">
      <w:pPr>
        <w:pStyle w:val="ListParagraph"/>
        <w:numPr>
          <w:ilvl w:val="0"/>
          <w:numId w:val="1"/>
        </w:numPr>
        <w:jc w:val="both"/>
      </w:pPr>
      <w:r>
        <w:t>Check whether you maintain any accounts or hold any funds or economic resources for the persons who are the subject of an asset freeze;</w:t>
      </w:r>
    </w:p>
    <w:p w:rsidR="00BE0A6B" w:rsidRDefault="00BE0A6B" w:rsidP="00BE0A6B">
      <w:pPr>
        <w:ind w:firstLine="360"/>
        <w:jc w:val="both"/>
      </w:pPr>
    </w:p>
    <w:p w:rsidR="00BE0A6B" w:rsidRDefault="00BE0A6B" w:rsidP="00BE0A6B">
      <w:pPr>
        <w:pStyle w:val="ListParagraph"/>
        <w:numPr>
          <w:ilvl w:val="0"/>
          <w:numId w:val="1"/>
        </w:numPr>
        <w:jc w:val="both"/>
      </w:pPr>
      <w:r>
        <w:t>Freeze such accounts, and other funds or assets;</w:t>
      </w:r>
    </w:p>
    <w:p w:rsidR="00BE0A6B" w:rsidRDefault="00BE0A6B" w:rsidP="00BE0A6B">
      <w:pPr>
        <w:jc w:val="both"/>
      </w:pPr>
    </w:p>
    <w:p w:rsidR="00BE0A6B" w:rsidRDefault="00BE0A6B" w:rsidP="00BE0A6B">
      <w:pPr>
        <w:pStyle w:val="ListParagraph"/>
        <w:numPr>
          <w:ilvl w:val="0"/>
          <w:numId w:val="1"/>
        </w:numPr>
        <w:jc w:val="both"/>
      </w:pPr>
      <w:r>
        <w:t>Refrain from dealing with the funds or assets or making them available to such persons unless licensed by the Governor;</w:t>
      </w:r>
    </w:p>
    <w:p w:rsidR="00BE0A6B" w:rsidRDefault="00BE0A6B" w:rsidP="00BE0A6B">
      <w:pPr>
        <w:jc w:val="both"/>
      </w:pPr>
    </w:p>
    <w:p w:rsidR="00BE0A6B" w:rsidRDefault="00BE0A6B" w:rsidP="00BE0A6B">
      <w:pPr>
        <w:pStyle w:val="ListParagraph"/>
        <w:numPr>
          <w:ilvl w:val="0"/>
          <w:numId w:val="1"/>
        </w:numPr>
        <w:jc w:val="both"/>
      </w:pPr>
      <w:r>
        <w:t>Report any findings to the Governor, together with any additional information that would facilitate compliance with the Regulation;</w:t>
      </w:r>
    </w:p>
    <w:p w:rsidR="00BE0A6B" w:rsidRDefault="00BE0A6B" w:rsidP="00BE0A6B">
      <w:pPr>
        <w:jc w:val="both"/>
      </w:pPr>
    </w:p>
    <w:p w:rsidR="00BE0A6B" w:rsidRDefault="00BE0A6B" w:rsidP="00BE0A6B">
      <w:pPr>
        <w:pStyle w:val="ListParagraph"/>
        <w:numPr>
          <w:ilvl w:val="0"/>
          <w:numId w:val="1"/>
        </w:numPr>
        <w:jc w:val="both"/>
      </w:pPr>
      <w:r>
        <w:t>Provide any information concerning the frozen assets of designated persons that the Treasury may request.  Information reported to the Governor may be passed on to other regulatory authorities or law enforcement;</w:t>
      </w:r>
    </w:p>
    <w:p w:rsidR="00BE0A6B" w:rsidRDefault="00BE0A6B" w:rsidP="00BE0A6B">
      <w:pPr>
        <w:jc w:val="both"/>
      </w:pPr>
    </w:p>
    <w:p w:rsidR="00BE0A6B" w:rsidRDefault="00BE0A6B" w:rsidP="00BE0A6B">
      <w:pPr>
        <w:pStyle w:val="ListParagraph"/>
        <w:numPr>
          <w:ilvl w:val="0"/>
          <w:numId w:val="1"/>
        </w:numPr>
        <w:jc w:val="both"/>
      </w:pPr>
      <w:r>
        <w:t>Where a relevant institution has already reported details of accounts, other funds or economic resources held frozen for designated persons, they are not required to report these again.</w:t>
      </w:r>
    </w:p>
    <w:p w:rsidR="00BE0A6B" w:rsidRDefault="00BE0A6B" w:rsidP="00BE0A6B">
      <w:pPr>
        <w:jc w:val="both"/>
      </w:pPr>
    </w:p>
    <w:p w:rsidR="00BE0A6B" w:rsidRPr="00F774DF" w:rsidRDefault="00BE0A6B" w:rsidP="00BE0A6B">
      <w:pPr>
        <w:pStyle w:val="ListParagraph"/>
        <w:numPr>
          <w:ilvl w:val="0"/>
          <w:numId w:val="1"/>
        </w:numPr>
        <w:jc w:val="both"/>
      </w:pPr>
      <w:r>
        <w:t>Failure to comply with financial sanctions legislation or to seek to circumvent its provisions is a criminal office.</w:t>
      </w:r>
    </w:p>
    <w:p w:rsidR="00F774DF" w:rsidRDefault="00F774DF" w:rsidP="00BE0A6B">
      <w:pPr>
        <w:jc w:val="both"/>
      </w:pPr>
    </w:p>
    <w:p w:rsidR="00F774DF" w:rsidRDefault="00F774DF" w:rsidP="00BE0A6B">
      <w:pPr>
        <w:jc w:val="both"/>
      </w:pPr>
      <w:r>
        <w:t xml:space="preserve">The European Union in Council decision </w:t>
      </w:r>
      <w:r w:rsidR="001B5FF1" w:rsidRPr="00C80D18">
        <w:t>2013/798/CFSP and 2014/125/CFSP</w:t>
      </w:r>
      <w:r w:rsidR="001B5FF1">
        <w:t xml:space="preserve"> </w:t>
      </w:r>
      <w:r w:rsidR="006C0BF2">
        <w:t xml:space="preserve">of </w:t>
      </w:r>
      <w:r w:rsidR="00443B19">
        <w:t>10</w:t>
      </w:r>
      <w:r w:rsidR="006C0BF2">
        <w:rPr>
          <w:vertAlign w:val="superscript"/>
        </w:rPr>
        <w:t xml:space="preserve"> </w:t>
      </w:r>
      <w:r w:rsidR="006C0BF2">
        <w:t xml:space="preserve">March 2014 </w:t>
      </w:r>
      <w:r>
        <w:t>may be viewed at:</w:t>
      </w:r>
    </w:p>
    <w:p w:rsidR="006C0BF2" w:rsidRDefault="006C0BF2" w:rsidP="00BE0A6B">
      <w:pPr>
        <w:jc w:val="both"/>
      </w:pPr>
    </w:p>
    <w:p w:rsidR="00443B19" w:rsidRDefault="00443B19" w:rsidP="00BE0A6B">
      <w:pPr>
        <w:jc w:val="both"/>
      </w:pPr>
      <w:hyperlink r:id="rId5" w:history="1">
        <w:r w:rsidRPr="00B23123">
          <w:rPr>
            <w:rStyle w:val="Hyperlink"/>
          </w:rPr>
          <w:t>http://www.onpcsb.ro/pdf/Decizia%20125_2014_engleza.pdf</w:t>
        </w:r>
      </w:hyperlink>
    </w:p>
    <w:p w:rsidR="00443B19" w:rsidRDefault="00443B19" w:rsidP="00BE0A6B">
      <w:pPr>
        <w:jc w:val="both"/>
      </w:pPr>
    </w:p>
    <w:p w:rsidR="00F774DF" w:rsidRPr="00443B19" w:rsidRDefault="006C0BF2" w:rsidP="00BE0A6B">
      <w:pPr>
        <w:jc w:val="both"/>
      </w:pPr>
      <w:r>
        <w:t xml:space="preserve">Copy of </w:t>
      </w:r>
      <w:r w:rsidR="007A02AE">
        <w:t xml:space="preserve">The Central African Republic (Sanctions) (Overseas Territories) Order 2014 </w:t>
      </w:r>
      <w:r w:rsidR="008B2F80">
        <w:t xml:space="preserve">can be viewed on the FSC website:  </w:t>
      </w:r>
      <w:r w:rsidRPr="006C0BF2">
        <w:rPr>
          <w:u w:val="single"/>
        </w:rPr>
        <w:t>www.</w:t>
      </w:r>
      <w:r w:rsidR="008B2F80" w:rsidRPr="006C0BF2">
        <w:rPr>
          <w:u w:val="single"/>
        </w:rPr>
        <w:t>fscmontserrat.org</w:t>
      </w:r>
      <w:r w:rsidR="008B2F80">
        <w:t xml:space="preserve"> under the heading </w:t>
      </w:r>
      <w:r>
        <w:t>“</w:t>
      </w:r>
      <w:r w:rsidR="009D07DE">
        <w:t>Sanctions</w:t>
      </w:r>
      <w:r>
        <w:t>”.</w:t>
      </w:r>
    </w:p>
    <w:p w:rsidR="00753365" w:rsidRDefault="00753365" w:rsidP="008B2F80">
      <w:pPr>
        <w:jc w:val="center"/>
        <w:rPr>
          <w:sz w:val="28"/>
          <w:szCs w:val="28"/>
        </w:rPr>
      </w:pPr>
    </w:p>
    <w:p w:rsidR="00753365" w:rsidRDefault="00753365" w:rsidP="008B2F80">
      <w:pPr>
        <w:jc w:val="center"/>
        <w:rPr>
          <w:sz w:val="28"/>
          <w:szCs w:val="28"/>
        </w:rPr>
      </w:pPr>
    </w:p>
    <w:sectPr w:rsidR="00753365" w:rsidSect="008B2F80">
      <w:pgSz w:w="11900" w:h="16840"/>
      <w:pgMar w:top="1247" w:right="1247" w:bottom="124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FE3944"/>
    <w:multiLevelType w:val="hybridMultilevel"/>
    <w:tmpl w:val="DD20C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0D05BD"/>
    <w:multiLevelType w:val="hybridMultilevel"/>
    <w:tmpl w:val="DD20C5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2CE42E1"/>
    <w:multiLevelType w:val="multilevel"/>
    <w:tmpl w:val="29A406BC"/>
    <w:name w:val="seq1"/>
    <w:lvl w:ilvl="0">
      <w:start w:val="1"/>
      <w:numFmt w:val="decimal"/>
      <w:lvlRestart w:val="0"/>
      <w:pStyle w:val="N1"/>
      <w:suff w:val="nothing"/>
      <w:lvlText w:val="%1."/>
      <w:lvlJc w:val="left"/>
      <w:pPr>
        <w:ind w:left="0" w:firstLine="170"/>
      </w:pPr>
      <w:rPr>
        <w:rFonts w:hint="default"/>
        <w:b/>
      </w:rPr>
    </w:lvl>
    <w:lvl w:ilvl="1">
      <w:start w:val="1"/>
      <w:numFmt w:val="decimal"/>
      <w:pStyle w:val="N2"/>
      <w:suff w:val="space"/>
      <w:lvlText w:val="(%2)"/>
      <w:lvlJc w:val="left"/>
      <w:pPr>
        <w:ind w:left="0" w:firstLine="170"/>
      </w:pPr>
      <w:rPr>
        <w:rFonts w:hint="default"/>
      </w:rPr>
    </w:lvl>
    <w:lvl w:ilvl="2">
      <w:start w:val="1"/>
      <w:numFmt w:val="lowerLetter"/>
      <w:pStyle w:val="N3"/>
      <w:lvlText w:val="(%3)"/>
      <w:lvlJc w:val="left"/>
      <w:pPr>
        <w:tabs>
          <w:tab w:val="num" w:pos="737"/>
        </w:tabs>
        <w:ind w:left="737" w:hanging="397"/>
      </w:pPr>
      <w:rPr>
        <w:rFonts w:hint="default"/>
      </w:rPr>
    </w:lvl>
    <w:lvl w:ilvl="3">
      <w:start w:val="1"/>
      <w:numFmt w:val="lowerRoman"/>
      <w:pStyle w:val="N4"/>
      <w:lvlText w:val="(%4)"/>
      <w:lvlJc w:val="right"/>
      <w:pPr>
        <w:tabs>
          <w:tab w:val="num" w:pos="1134"/>
        </w:tabs>
        <w:ind w:left="1134" w:hanging="113"/>
      </w:pPr>
      <w:rPr>
        <w:rFonts w:hint="default"/>
      </w:rPr>
    </w:lvl>
    <w:lvl w:ilvl="4">
      <w:start w:val="1"/>
      <w:numFmt w:val="lowerLetter"/>
      <w:pStyle w:val="N5"/>
      <w:lvlText w:val="(%5%5)"/>
      <w:lvlJc w:val="left"/>
      <w:pPr>
        <w:tabs>
          <w:tab w:val="num" w:pos="1701"/>
        </w:tabs>
        <w:ind w:left="1701" w:hanging="567"/>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useFELayout/>
  </w:compat>
  <w:rsids>
    <w:rsidRoot w:val="00407BEE"/>
    <w:rsid w:val="00024B2A"/>
    <w:rsid w:val="000B6043"/>
    <w:rsid w:val="000C3A5C"/>
    <w:rsid w:val="001B5FF1"/>
    <w:rsid w:val="00407BEE"/>
    <w:rsid w:val="00443B19"/>
    <w:rsid w:val="00466AB9"/>
    <w:rsid w:val="0056399B"/>
    <w:rsid w:val="0066259E"/>
    <w:rsid w:val="006C0BF2"/>
    <w:rsid w:val="00753365"/>
    <w:rsid w:val="007A02AE"/>
    <w:rsid w:val="008B2F80"/>
    <w:rsid w:val="00972DB6"/>
    <w:rsid w:val="009D07DE"/>
    <w:rsid w:val="00B31117"/>
    <w:rsid w:val="00BE0A6B"/>
    <w:rsid w:val="00C80D18"/>
    <w:rsid w:val="00F17B8C"/>
    <w:rsid w:val="00F774DF"/>
  </w:rsids>
  <m:mathPr>
    <m:mathFont m:val="Cambria Math"/>
    <m:brkBin m:val="before"/>
    <m:brkBinSub m:val="--"/>
    <m:smallFrac m:val="off"/>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3A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A6B"/>
    <w:pPr>
      <w:ind w:left="720"/>
      <w:contextualSpacing/>
    </w:pPr>
  </w:style>
  <w:style w:type="character" w:styleId="Hyperlink">
    <w:name w:val="Hyperlink"/>
    <w:basedOn w:val="DefaultParagraphFont"/>
    <w:uiPriority w:val="99"/>
    <w:unhideWhenUsed/>
    <w:rsid w:val="00753365"/>
    <w:rPr>
      <w:color w:val="0000FF" w:themeColor="hyperlink"/>
      <w:u w:val="single"/>
    </w:rPr>
  </w:style>
  <w:style w:type="character" w:styleId="FollowedHyperlink">
    <w:name w:val="FollowedHyperlink"/>
    <w:basedOn w:val="DefaultParagraphFont"/>
    <w:uiPriority w:val="99"/>
    <w:semiHidden/>
    <w:unhideWhenUsed/>
    <w:rsid w:val="006C0BF2"/>
    <w:rPr>
      <w:color w:val="800080" w:themeColor="followedHyperlink"/>
      <w:u w:val="single"/>
    </w:rPr>
  </w:style>
  <w:style w:type="paragraph" w:customStyle="1" w:styleId="T1">
    <w:name w:val="T1"/>
    <w:basedOn w:val="Normal"/>
    <w:link w:val="T1Char"/>
    <w:rsid w:val="00C80D18"/>
    <w:pPr>
      <w:spacing w:before="160" w:line="220" w:lineRule="atLeast"/>
      <w:jc w:val="both"/>
    </w:pPr>
    <w:rPr>
      <w:rFonts w:ascii="Times New Roman" w:eastAsia="Times New Roman" w:hAnsi="Times New Roman" w:cs="Times New Roman"/>
      <w:sz w:val="21"/>
      <w:szCs w:val="20"/>
    </w:rPr>
  </w:style>
  <w:style w:type="character" w:customStyle="1" w:styleId="T1Char">
    <w:name w:val="T1 Char"/>
    <w:basedOn w:val="DefaultParagraphFont"/>
    <w:link w:val="T1"/>
    <w:locked/>
    <w:rsid w:val="00C80D18"/>
    <w:rPr>
      <w:rFonts w:ascii="Times New Roman" w:eastAsia="Times New Roman" w:hAnsi="Times New Roman" w:cs="Times New Roman"/>
      <w:sz w:val="21"/>
      <w:szCs w:val="20"/>
    </w:rPr>
  </w:style>
  <w:style w:type="paragraph" w:customStyle="1" w:styleId="linespace">
    <w:name w:val="linespace"/>
    <w:rsid w:val="00C80D18"/>
    <w:pPr>
      <w:spacing w:line="240" w:lineRule="exact"/>
    </w:pPr>
    <w:rPr>
      <w:rFonts w:ascii="Times New Roman" w:eastAsia="Times New Roman" w:hAnsi="Times New Roman" w:cs="Times New Roman"/>
      <w:noProof/>
      <w:sz w:val="20"/>
      <w:szCs w:val="20"/>
    </w:rPr>
  </w:style>
  <w:style w:type="paragraph" w:customStyle="1" w:styleId="N1">
    <w:name w:val="N1"/>
    <w:basedOn w:val="Normal"/>
    <w:rsid w:val="00C80D18"/>
    <w:pPr>
      <w:numPr>
        <w:numId w:val="3"/>
      </w:numPr>
      <w:spacing w:before="160" w:line="220" w:lineRule="atLeast"/>
      <w:jc w:val="both"/>
    </w:pPr>
    <w:rPr>
      <w:rFonts w:ascii="Times New Roman" w:eastAsia="Times New Roman" w:hAnsi="Times New Roman" w:cs="Times New Roman"/>
      <w:sz w:val="21"/>
      <w:szCs w:val="20"/>
    </w:rPr>
  </w:style>
  <w:style w:type="paragraph" w:customStyle="1" w:styleId="N2">
    <w:name w:val="N2"/>
    <w:basedOn w:val="N1"/>
    <w:rsid w:val="00C80D18"/>
    <w:pPr>
      <w:numPr>
        <w:ilvl w:val="1"/>
      </w:numPr>
      <w:spacing w:before="80"/>
    </w:pPr>
  </w:style>
  <w:style w:type="paragraph" w:customStyle="1" w:styleId="N3">
    <w:name w:val="N3"/>
    <w:basedOn w:val="N2"/>
    <w:rsid w:val="00C80D18"/>
    <w:pPr>
      <w:numPr>
        <w:ilvl w:val="2"/>
      </w:numPr>
    </w:pPr>
  </w:style>
  <w:style w:type="paragraph" w:customStyle="1" w:styleId="N4">
    <w:name w:val="N4"/>
    <w:basedOn w:val="N3"/>
    <w:rsid w:val="00C80D18"/>
    <w:pPr>
      <w:numPr>
        <w:ilvl w:val="3"/>
      </w:numPr>
    </w:pPr>
  </w:style>
  <w:style w:type="paragraph" w:customStyle="1" w:styleId="N5">
    <w:name w:val="N5"/>
    <w:basedOn w:val="N4"/>
    <w:rsid w:val="00C80D18"/>
    <w:pPr>
      <w:numPr>
        <w:ilvl w:val="4"/>
      </w:numPr>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0A6B"/>
    <w:pPr>
      <w:ind w:left="720"/>
      <w:contextualSpacing/>
    </w:pPr>
  </w:style>
  <w:style w:type="character" w:styleId="Hyperlink">
    <w:name w:val="Hyperlink"/>
    <w:basedOn w:val="DefaultParagraphFont"/>
    <w:uiPriority w:val="99"/>
    <w:unhideWhenUsed/>
    <w:rsid w:val="00753365"/>
    <w:rPr>
      <w:color w:val="0000FF" w:themeColor="hyperlink"/>
      <w:u w:val="single"/>
    </w:rPr>
  </w:style>
  <w:style w:type="character" w:styleId="FollowedHyperlink">
    <w:name w:val="FollowedHyperlink"/>
    <w:basedOn w:val="DefaultParagraphFont"/>
    <w:uiPriority w:val="99"/>
    <w:semiHidden/>
    <w:unhideWhenUsed/>
    <w:rsid w:val="006C0BF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npcsb.ro/pdf/Decizia%20125_2014_engleza.pdf"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371</TotalTime>
  <Pages>2</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Dulcie James</dc:creator>
  <cp:lastModifiedBy>Dunila Cuffy</cp:lastModifiedBy>
  <cp:revision>4</cp:revision>
  <cp:lastPrinted>2014-07-07T19:13:00Z</cp:lastPrinted>
  <dcterms:created xsi:type="dcterms:W3CDTF">2014-07-07T14:39:00Z</dcterms:created>
  <dcterms:modified xsi:type="dcterms:W3CDTF">2014-07-07T21:07:00Z</dcterms:modified>
</cp:coreProperties>
</file>