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EE" w:rsidRDefault="00407BEE" w:rsidP="00BE0A6B">
      <w:pPr>
        <w:jc w:val="both"/>
      </w:pPr>
    </w:p>
    <w:p w:rsidR="00407BEE" w:rsidRPr="008B2F80" w:rsidRDefault="00407BEE" w:rsidP="008B2F80">
      <w:pPr>
        <w:jc w:val="center"/>
        <w:rPr>
          <w:sz w:val="28"/>
          <w:szCs w:val="28"/>
        </w:rPr>
      </w:pPr>
      <w:r w:rsidRPr="008B2F80">
        <w:rPr>
          <w:sz w:val="28"/>
          <w:szCs w:val="28"/>
        </w:rPr>
        <w:t>WARNING NOTICE</w:t>
      </w:r>
    </w:p>
    <w:p w:rsidR="00407BEE" w:rsidRDefault="00407BEE" w:rsidP="00BE0A6B">
      <w:pPr>
        <w:jc w:val="both"/>
      </w:pPr>
    </w:p>
    <w:p w:rsidR="00407BEE" w:rsidRPr="008B2F80" w:rsidRDefault="00407BEE" w:rsidP="008B2F80">
      <w:pPr>
        <w:jc w:val="center"/>
        <w:rPr>
          <w:b/>
        </w:rPr>
      </w:pPr>
      <w:r w:rsidRPr="008B2F80">
        <w:rPr>
          <w:b/>
        </w:rPr>
        <w:t>THE UKRAINE (SANCTIONS)(OVERSEAS TERRITORIES) (NO.2) ORDER 2014</w:t>
      </w:r>
    </w:p>
    <w:p w:rsidR="00407BEE" w:rsidRDefault="00407BEE" w:rsidP="00BE0A6B">
      <w:pPr>
        <w:jc w:val="both"/>
      </w:pPr>
    </w:p>
    <w:p w:rsidR="00407BEE" w:rsidRDefault="00407BEE" w:rsidP="00BE0A6B">
      <w:pPr>
        <w:jc w:val="both"/>
      </w:pPr>
    </w:p>
    <w:p w:rsidR="00407BEE" w:rsidRDefault="00407BEE" w:rsidP="00BE0A6B">
      <w:pPr>
        <w:jc w:val="both"/>
      </w:pPr>
      <w:r>
        <w:t>The Montserrat Financial Services Commission  (“the FSC”) is advising the public that the Ukraine (Sanctions) (overseas Territories) (No.2) Order 2014 was extended to the territory of Montserrat and came into force 30 April 2014, by vi</w:t>
      </w:r>
      <w:r w:rsidR="00F774DF">
        <w:t>rtue of Schedule 1 of the Order and revoked and replaces the Ukraine (Sanctions) (Overseas Territories) Order 2014 which came into force on 5 March 2014.</w:t>
      </w:r>
    </w:p>
    <w:p w:rsidR="00407BEE" w:rsidRDefault="00407BEE" w:rsidP="00BE0A6B">
      <w:pPr>
        <w:jc w:val="both"/>
      </w:pPr>
    </w:p>
    <w:p w:rsidR="00F774DF" w:rsidRDefault="00F774DF" w:rsidP="00BE0A6B">
      <w:pPr>
        <w:jc w:val="both"/>
      </w:pPr>
      <w:r>
        <w:t>The</w:t>
      </w:r>
      <w:r w:rsidR="008B2F80">
        <w:t xml:space="preserve"> Order freezes in the territory of Montserrat assets o</w:t>
      </w:r>
      <w:r>
        <w:t>f persons who have been identified as responsible for misappropriation of Ukrainian States</w:t>
      </w:r>
      <w:r w:rsidR="008B2F80">
        <w:t xml:space="preserve"> funds</w:t>
      </w:r>
      <w:r>
        <w:t>.</w:t>
      </w:r>
    </w:p>
    <w:p w:rsidR="00F774DF" w:rsidRDefault="00F774DF" w:rsidP="00BE0A6B">
      <w:pPr>
        <w:jc w:val="both"/>
      </w:pPr>
    </w:p>
    <w:p w:rsidR="00F774DF" w:rsidRDefault="00F774DF" w:rsidP="00BE0A6B">
      <w:pPr>
        <w:jc w:val="both"/>
      </w:pPr>
      <w:r>
        <w:t>The Order gives effect to sanctions in respect of Ukraine applied by the European Union in Council Decision 2014/119/CFSP.</w:t>
      </w:r>
    </w:p>
    <w:p w:rsidR="00F774DF" w:rsidRDefault="00F774DF" w:rsidP="00BE0A6B">
      <w:pPr>
        <w:jc w:val="both"/>
      </w:pPr>
    </w:p>
    <w:p w:rsidR="00F774DF" w:rsidRDefault="00F774DF" w:rsidP="00BE0A6B">
      <w:pPr>
        <w:jc w:val="both"/>
        <w:rPr>
          <w:b/>
        </w:rPr>
      </w:pPr>
      <w:r>
        <w:rPr>
          <w:b/>
        </w:rPr>
        <w:t>What you must do</w:t>
      </w:r>
    </w:p>
    <w:p w:rsidR="00F774DF" w:rsidRDefault="00F774DF" w:rsidP="00BE0A6B">
      <w:pPr>
        <w:jc w:val="both"/>
        <w:rPr>
          <w:b/>
        </w:rPr>
      </w:pPr>
    </w:p>
    <w:p w:rsidR="00F774DF" w:rsidRDefault="00BE0A6B" w:rsidP="00BE0A6B">
      <w:pPr>
        <w:pStyle w:val="ListParagraph"/>
        <w:numPr>
          <w:ilvl w:val="0"/>
          <w:numId w:val="1"/>
        </w:numPr>
        <w:jc w:val="both"/>
      </w:pPr>
      <w:r>
        <w:t>Check whether you maintain any accounts or hold any funds or economic resources for the persons who are the subject of an asset freeze;</w:t>
      </w:r>
    </w:p>
    <w:p w:rsidR="00BE0A6B" w:rsidRDefault="00BE0A6B" w:rsidP="00BE0A6B">
      <w:pPr>
        <w:ind w:firstLine="360"/>
        <w:jc w:val="both"/>
      </w:pPr>
    </w:p>
    <w:p w:rsidR="00BE0A6B" w:rsidRDefault="00BE0A6B" w:rsidP="00BE0A6B">
      <w:pPr>
        <w:pStyle w:val="ListParagraph"/>
        <w:numPr>
          <w:ilvl w:val="0"/>
          <w:numId w:val="1"/>
        </w:numPr>
        <w:jc w:val="both"/>
      </w:pPr>
      <w:r>
        <w:t>Freeze such accounts, and other funds or assets;</w:t>
      </w:r>
    </w:p>
    <w:p w:rsidR="00BE0A6B" w:rsidRDefault="00BE0A6B" w:rsidP="00BE0A6B">
      <w:pPr>
        <w:jc w:val="both"/>
      </w:pPr>
    </w:p>
    <w:p w:rsidR="00BE0A6B" w:rsidRDefault="00BE0A6B" w:rsidP="00BE0A6B">
      <w:pPr>
        <w:pStyle w:val="ListParagraph"/>
        <w:numPr>
          <w:ilvl w:val="0"/>
          <w:numId w:val="1"/>
        </w:numPr>
        <w:jc w:val="both"/>
      </w:pPr>
      <w:r>
        <w:t>Refrain from dealing with the funds or assets or making them available to such persons unless licensed by the Governor;</w:t>
      </w:r>
    </w:p>
    <w:p w:rsidR="00BE0A6B" w:rsidRDefault="00BE0A6B" w:rsidP="00BE0A6B">
      <w:pPr>
        <w:jc w:val="both"/>
      </w:pPr>
    </w:p>
    <w:p w:rsidR="00BE0A6B" w:rsidRDefault="00BE0A6B" w:rsidP="00BE0A6B">
      <w:pPr>
        <w:pStyle w:val="ListParagraph"/>
        <w:numPr>
          <w:ilvl w:val="0"/>
          <w:numId w:val="1"/>
        </w:numPr>
        <w:jc w:val="both"/>
      </w:pPr>
      <w:r>
        <w:t>Report any findings to the Governor, together with any additional information that would facilitate compliance with the Regulation;</w:t>
      </w:r>
    </w:p>
    <w:p w:rsidR="00BE0A6B" w:rsidRDefault="00BE0A6B" w:rsidP="00BE0A6B">
      <w:pPr>
        <w:jc w:val="both"/>
      </w:pPr>
    </w:p>
    <w:p w:rsidR="00BE0A6B" w:rsidRDefault="00BE0A6B" w:rsidP="00BE0A6B">
      <w:pPr>
        <w:pStyle w:val="ListParagraph"/>
        <w:numPr>
          <w:ilvl w:val="0"/>
          <w:numId w:val="1"/>
        </w:numPr>
        <w:jc w:val="both"/>
      </w:pPr>
      <w:r>
        <w:t>Provide any information concerning the frozen assets of designated persons that the Treasury may request.  Information reported to the Governor may be passed on to other regulatory authorities or law enforcement;</w:t>
      </w:r>
    </w:p>
    <w:p w:rsidR="00BE0A6B" w:rsidRDefault="00BE0A6B" w:rsidP="00BE0A6B">
      <w:pPr>
        <w:jc w:val="both"/>
      </w:pPr>
    </w:p>
    <w:p w:rsidR="00BE0A6B" w:rsidRDefault="00BE0A6B" w:rsidP="00BE0A6B">
      <w:pPr>
        <w:pStyle w:val="ListParagraph"/>
        <w:numPr>
          <w:ilvl w:val="0"/>
          <w:numId w:val="1"/>
        </w:numPr>
        <w:jc w:val="both"/>
      </w:pPr>
      <w:r>
        <w:t>Where a relevant institution has already reported details of accounts, other funds or economic resources held frozen for designated persons, they are not required to report these again.</w:t>
      </w:r>
    </w:p>
    <w:p w:rsidR="00BE0A6B" w:rsidRDefault="00BE0A6B" w:rsidP="00BE0A6B">
      <w:pPr>
        <w:jc w:val="both"/>
      </w:pPr>
    </w:p>
    <w:p w:rsidR="00BE0A6B" w:rsidRPr="00F774DF" w:rsidRDefault="00BE0A6B" w:rsidP="00BE0A6B">
      <w:pPr>
        <w:pStyle w:val="ListParagraph"/>
        <w:numPr>
          <w:ilvl w:val="0"/>
          <w:numId w:val="1"/>
        </w:numPr>
        <w:jc w:val="both"/>
      </w:pPr>
      <w:r>
        <w:t>Failure to comply with financial sanctions legislation or to seek to circumvent its provisions is a criminal office.</w:t>
      </w:r>
    </w:p>
    <w:p w:rsidR="00F774DF" w:rsidRDefault="00F774DF" w:rsidP="00BE0A6B">
      <w:pPr>
        <w:jc w:val="both"/>
      </w:pPr>
    </w:p>
    <w:p w:rsidR="00F774DF" w:rsidRDefault="00F774DF" w:rsidP="00BE0A6B">
      <w:pPr>
        <w:jc w:val="both"/>
      </w:pPr>
      <w:r>
        <w:t xml:space="preserve">The European Union in Council decision 2014/119/CSP </w:t>
      </w:r>
      <w:r w:rsidR="006C0BF2">
        <w:t>of 5</w:t>
      </w:r>
      <w:r w:rsidR="006C0BF2">
        <w:rPr>
          <w:vertAlign w:val="superscript"/>
        </w:rPr>
        <w:t xml:space="preserve"> </w:t>
      </w:r>
      <w:r w:rsidR="006C0BF2">
        <w:t xml:space="preserve">March 2014 </w:t>
      </w:r>
      <w:r>
        <w:t>may be viewed at:</w:t>
      </w:r>
    </w:p>
    <w:p w:rsidR="006C0BF2" w:rsidRDefault="006C0BF2" w:rsidP="00BE0A6B">
      <w:pPr>
        <w:jc w:val="both"/>
      </w:pPr>
    </w:p>
    <w:p w:rsidR="00753365" w:rsidRPr="006C0BF2" w:rsidRDefault="003966DE" w:rsidP="006C0BF2">
      <w:pPr>
        <w:widowControl w:val="0"/>
        <w:autoSpaceDE w:val="0"/>
        <w:autoSpaceDN w:val="0"/>
        <w:adjustRightInd w:val="0"/>
        <w:spacing w:after="266"/>
        <w:rPr>
          <w:rFonts w:ascii="Verdana" w:hAnsi="Verdana" w:cs="Verdana"/>
          <w:color w:val="114588"/>
          <w:sz w:val="18"/>
          <w:szCs w:val="18"/>
          <w:lang w:val="en-US"/>
        </w:rPr>
      </w:pPr>
      <w:hyperlink r:id="rId5" w:history="1">
        <w:r w:rsidR="006C0BF2" w:rsidRPr="009B0857">
          <w:rPr>
            <w:rStyle w:val="Hyperlink"/>
            <w:rFonts w:ascii="Verdana" w:hAnsi="Verdana" w:cs="Verdana"/>
            <w:sz w:val="18"/>
            <w:szCs w:val="18"/>
            <w:lang w:val="en-US"/>
          </w:rPr>
          <w:t>http://eur-lex.europa.eu/LexUriServ/LexUriServ.do?uri=OJ:L:2014:066:0026:0030:EN:PDF</w:t>
        </w:r>
      </w:hyperlink>
    </w:p>
    <w:p w:rsidR="00F774DF" w:rsidRPr="00753365" w:rsidRDefault="006C0BF2" w:rsidP="00BE0A6B">
      <w:pPr>
        <w:jc w:val="both"/>
        <w:rPr>
          <w:b/>
        </w:rPr>
      </w:pPr>
      <w:r>
        <w:t>Copy of T</w:t>
      </w:r>
      <w:r w:rsidR="008B2F80">
        <w:t>he Ukraine (Sanctions) (Overseas Territories) (No.2) Order 2014</w:t>
      </w:r>
      <w:r>
        <w:t xml:space="preserve"> </w:t>
      </w:r>
      <w:r w:rsidR="008B2F80">
        <w:t xml:space="preserve">can be viewed on the FSC website:  </w:t>
      </w:r>
      <w:r w:rsidRPr="006C0BF2">
        <w:rPr>
          <w:u w:val="single"/>
        </w:rPr>
        <w:t>www.</w:t>
      </w:r>
      <w:r w:rsidR="008B2F80" w:rsidRPr="006C0BF2">
        <w:rPr>
          <w:u w:val="single"/>
        </w:rPr>
        <w:t>fscmontserrat.org</w:t>
      </w:r>
      <w:r w:rsidR="008B2F80">
        <w:t xml:space="preserve"> under the heading </w:t>
      </w:r>
      <w:r>
        <w:t>“</w:t>
      </w:r>
      <w:r w:rsidR="008B2F80">
        <w:t>Legislation</w:t>
      </w:r>
      <w:r>
        <w:t>”.</w:t>
      </w:r>
    </w:p>
    <w:p w:rsidR="00753365" w:rsidRDefault="00753365" w:rsidP="008B2F80">
      <w:pPr>
        <w:jc w:val="center"/>
        <w:rPr>
          <w:sz w:val="28"/>
          <w:szCs w:val="28"/>
        </w:rPr>
      </w:pPr>
    </w:p>
    <w:p w:rsidR="00753365" w:rsidRDefault="00753365" w:rsidP="008B2F80">
      <w:pPr>
        <w:jc w:val="center"/>
        <w:rPr>
          <w:sz w:val="28"/>
          <w:szCs w:val="28"/>
        </w:rPr>
      </w:pPr>
    </w:p>
    <w:p w:rsidR="008B2F80" w:rsidRPr="008B2F80" w:rsidRDefault="008B2F80" w:rsidP="008B2F80">
      <w:pPr>
        <w:jc w:val="center"/>
        <w:rPr>
          <w:sz w:val="28"/>
          <w:szCs w:val="28"/>
        </w:rPr>
      </w:pPr>
      <w:r w:rsidRPr="008B2F80">
        <w:rPr>
          <w:sz w:val="28"/>
          <w:szCs w:val="28"/>
        </w:rPr>
        <w:t>WARNING NOTICE</w:t>
      </w:r>
    </w:p>
    <w:p w:rsidR="008B2F80" w:rsidRDefault="008B2F80" w:rsidP="008B2F80">
      <w:pPr>
        <w:jc w:val="both"/>
      </w:pPr>
    </w:p>
    <w:p w:rsidR="008B2F80" w:rsidRPr="008B2F80" w:rsidRDefault="008B2F80" w:rsidP="008B2F80">
      <w:pPr>
        <w:jc w:val="center"/>
        <w:rPr>
          <w:b/>
        </w:rPr>
      </w:pPr>
      <w:r w:rsidRPr="008B2F80">
        <w:rPr>
          <w:b/>
        </w:rPr>
        <w:t>THE UKRAINE (SANCTI</w:t>
      </w:r>
      <w:r>
        <w:rPr>
          <w:b/>
        </w:rPr>
        <w:t>ONS)(OVERSEAS TERRITORIES) (NO.3</w:t>
      </w:r>
      <w:r w:rsidRPr="008B2F80">
        <w:rPr>
          <w:b/>
        </w:rPr>
        <w:t>) ORDER 2014</w:t>
      </w:r>
    </w:p>
    <w:p w:rsidR="008B2F80" w:rsidRDefault="008B2F80" w:rsidP="008B2F80">
      <w:pPr>
        <w:jc w:val="both"/>
      </w:pPr>
    </w:p>
    <w:p w:rsidR="008B2F80" w:rsidRDefault="008B2F80" w:rsidP="008B2F80">
      <w:pPr>
        <w:jc w:val="both"/>
      </w:pPr>
      <w:r>
        <w:t>The Montserrat Financial Services Commission  (“the FSC”) is advising the public that the Ukraine (Sanctio</w:t>
      </w:r>
      <w:r w:rsidR="00B31117">
        <w:t>ns) (overseas Territories) (No.3</w:t>
      </w:r>
      <w:r>
        <w:t>) Order 2014 was extended to the territory of Montserrat and came into force 30</w:t>
      </w:r>
      <w:r w:rsidRPr="00407BEE">
        <w:rPr>
          <w:vertAlign w:val="superscript"/>
        </w:rPr>
        <w:t>TH</w:t>
      </w:r>
      <w:r>
        <w:t xml:space="preserve"> April 2014, by virtue of Schedule 1 of the Order.</w:t>
      </w:r>
    </w:p>
    <w:p w:rsidR="008B2F80" w:rsidRDefault="008B2F80" w:rsidP="008B2F80">
      <w:pPr>
        <w:jc w:val="both"/>
      </w:pPr>
    </w:p>
    <w:p w:rsidR="008B2F80" w:rsidRDefault="008B2F80" w:rsidP="008B2F80">
      <w:pPr>
        <w:jc w:val="both"/>
      </w:pPr>
      <w:r>
        <w:t>The Order freezes in the territory of Montserrat the assets of persons who have been identified as responsible for actions which undermine or threaten the territorial integrity, sovereignty and independence of Ukraine, and natural or legal persons, entities or bodies associated with them.</w:t>
      </w:r>
    </w:p>
    <w:p w:rsidR="008B2F80" w:rsidRDefault="008B2F80" w:rsidP="008B2F80">
      <w:pPr>
        <w:jc w:val="both"/>
      </w:pPr>
    </w:p>
    <w:p w:rsidR="008B2F80" w:rsidRDefault="008B2F80" w:rsidP="008B2F80">
      <w:pPr>
        <w:jc w:val="both"/>
      </w:pPr>
      <w:r>
        <w:t>The Order gives effect to sanctions in respect of Ukraine applied by the European Union in Council Decision 2014/145/CFSP.</w:t>
      </w:r>
    </w:p>
    <w:p w:rsidR="008B2F80" w:rsidRDefault="008B2F80" w:rsidP="008B2F80">
      <w:pPr>
        <w:jc w:val="both"/>
      </w:pPr>
    </w:p>
    <w:p w:rsidR="008B2F80" w:rsidRDefault="008B2F80" w:rsidP="008B2F80">
      <w:pPr>
        <w:jc w:val="both"/>
        <w:rPr>
          <w:b/>
        </w:rPr>
      </w:pPr>
      <w:r>
        <w:rPr>
          <w:b/>
        </w:rPr>
        <w:t>What you must do</w:t>
      </w:r>
    </w:p>
    <w:p w:rsidR="008B2F80" w:rsidRDefault="008B2F80" w:rsidP="008B2F80">
      <w:pPr>
        <w:jc w:val="both"/>
        <w:rPr>
          <w:b/>
        </w:rPr>
      </w:pPr>
    </w:p>
    <w:p w:rsidR="008B2F80" w:rsidRDefault="008B2F80" w:rsidP="008B2F80">
      <w:pPr>
        <w:pStyle w:val="ListParagraph"/>
        <w:numPr>
          <w:ilvl w:val="0"/>
          <w:numId w:val="2"/>
        </w:numPr>
        <w:jc w:val="both"/>
      </w:pPr>
      <w:r>
        <w:t>Check whether you maintain any accounts or hold any funds or economic resources for the persons who are the subject of an asset freeze;</w:t>
      </w:r>
    </w:p>
    <w:p w:rsidR="008B2F80" w:rsidRDefault="008B2F80" w:rsidP="008B2F80">
      <w:pPr>
        <w:ind w:firstLine="360"/>
        <w:jc w:val="both"/>
      </w:pPr>
    </w:p>
    <w:p w:rsidR="008B2F80" w:rsidRDefault="008B2F80" w:rsidP="008B2F80">
      <w:pPr>
        <w:pStyle w:val="ListParagraph"/>
        <w:numPr>
          <w:ilvl w:val="0"/>
          <w:numId w:val="2"/>
        </w:numPr>
        <w:jc w:val="both"/>
      </w:pPr>
      <w:r>
        <w:t>Freeze such accounts, and other funds or assets;</w:t>
      </w:r>
    </w:p>
    <w:p w:rsidR="008B2F80" w:rsidRDefault="008B2F80" w:rsidP="008B2F80">
      <w:pPr>
        <w:jc w:val="both"/>
      </w:pPr>
    </w:p>
    <w:p w:rsidR="008B2F80" w:rsidRDefault="008B2F80" w:rsidP="008B2F80">
      <w:pPr>
        <w:pStyle w:val="ListParagraph"/>
        <w:numPr>
          <w:ilvl w:val="0"/>
          <w:numId w:val="2"/>
        </w:numPr>
        <w:jc w:val="both"/>
      </w:pPr>
      <w:r>
        <w:t>Refrain from dealing with the funds or assets or making them available to such persons unless licensed by the Governor;</w:t>
      </w:r>
    </w:p>
    <w:p w:rsidR="008B2F80" w:rsidRDefault="008B2F80" w:rsidP="008B2F80">
      <w:pPr>
        <w:jc w:val="both"/>
      </w:pPr>
    </w:p>
    <w:p w:rsidR="008B2F80" w:rsidRDefault="008B2F80" w:rsidP="008B2F80">
      <w:pPr>
        <w:pStyle w:val="ListParagraph"/>
        <w:numPr>
          <w:ilvl w:val="0"/>
          <w:numId w:val="2"/>
        </w:numPr>
        <w:jc w:val="both"/>
      </w:pPr>
      <w:r>
        <w:t>Report any findings to the Governor, together with any additional information that would facilitate compliance with the Regulation;</w:t>
      </w:r>
    </w:p>
    <w:p w:rsidR="008B2F80" w:rsidRDefault="008B2F80" w:rsidP="008B2F80">
      <w:pPr>
        <w:jc w:val="both"/>
      </w:pPr>
    </w:p>
    <w:p w:rsidR="008B2F80" w:rsidRDefault="008B2F80" w:rsidP="008B2F80">
      <w:pPr>
        <w:pStyle w:val="ListParagraph"/>
        <w:numPr>
          <w:ilvl w:val="0"/>
          <w:numId w:val="2"/>
        </w:numPr>
        <w:jc w:val="both"/>
      </w:pPr>
      <w:r>
        <w:t>Provide any information concerning the frozen assets of designated persons that the Treasury may request.  Information reported to the Governor may be passed on to other regulatory authorities or law enforcement;</w:t>
      </w:r>
    </w:p>
    <w:p w:rsidR="008B2F80" w:rsidRDefault="008B2F80" w:rsidP="008B2F80">
      <w:pPr>
        <w:jc w:val="both"/>
      </w:pPr>
    </w:p>
    <w:p w:rsidR="008B2F80" w:rsidRDefault="008B2F80" w:rsidP="008B2F80">
      <w:pPr>
        <w:pStyle w:val="ListParagraph"/>
        <w:numPr>
          <w:ilvl w:val="0"/>
          <w:numId w:val="2"/>
        </w:numPr>
        <w:jc w:val="both"/>
      </w:pPr>
      <w:r>
        <w:t>Where a relevant institution has already reported details of accounts, other funds or economic resources held frozen for designated persons, they are not required to report these again.</w:t>
      </w:r>
    </w:p>
    <w:p w:rsidR="008B2F80" w:rsidRDefault="008B2F80" w:rsidP="008B2F80">
      <w:pPr>
        <w:jc w:val="both"/>
      </w:pPr>
    </w:p>
    <w:p w:rsidR="008B2F80" w:rsidRPr="00F774DF" w:rsidRDefault="008B2F80" w:rsidP="008B2F80">
      <w:pPr>
        <w:pStyle w:val="ListParagraph"/>
        <w:numPr>
          <w:ilvl w:val="0"/>
          <w:numId w:val="2"/>
        </w:numPr>
        <w:jc w:val="both"/>
      </w:pPr>
      <w:r>
        <w:t>Failure to comply with financial sanctions legislation or to seek to circumvent its provisions is a criminal office.</w:t>
      </w:r>
    </w:p>
    <w:p w:rsidR="008B2F80" w:rsidRDefault="008B2F80" w:rsidP="008B2F80">
      <w:pPr>
        <w:jc w:val="both"/>
      </w:pPr>
    </w:p>
    <w:p w:rsidR="000B6043" w:rsidRDefault="000B6043" w:rsidP="000B6043">
      <w:pPr>
        <w:widowControl w:val="0"/>
        <w:autoSpaceDE w:val="0"/>
        <w:autoSpaceDN w:val="0"/>
        <w:adjustRightInd w:val="0"/>
        <w:spacing w:after="266"/>
        <w:jc w:val="both"/>
        <w:rPr>
          <w:rFonts w:ascii="Verdana" w:hAnsi="Verdana" w:cs="Verdana"/>
          <w:color w:val="3A3A3A"/>
          <w:lang w:val="en-US"/>
        </w:rPr>
      </w:pPr>
      <w:r>
        <w:rPr>
          <w:rFonts w:ascii="Verdana" w:hAnsi="Verdana" w:cs="Verdana"/>
          <w:color w:val="3A3A3A"/>
          <w:lang w:val="en-US"/>
        </w:rPr>
        <w:t>The European Union in Council Decision 2014/145 CFSP of 17</w:t>
      </w:r>
      <w:r>
        <w:rPr>
          <w:rFonts w:ascii="Verdana" w:hAnsi="Verdana" w:cs="Verdana"/>
          <w:color w:val="3A3A3A"/>
          <w:sz w:val="20"/>
          <w:szCs w:val="20"/>
          <w:vertAlign w:val="superscript"/>
          <w:lang w:val="en-US"/>
        </w:rPr>
        <w:t>th</w:t>
      </w:r>
      <w:r>
        <w:rPr>
          <w:rFonts w:ascii="Verdana" w:hAnsi="Verdana" w:cs="Verdana"/>
          <w:color w:val="3A3A3A"/>
          <w:lang w:val="en-US"/>
        </w:rPr>
        <w:t xml:space="preserve"> March, 2014 may be viewed in it</w:t>
      </w:r>
      <w:r w:rsidR="00753365">
        <w:rPr>
          <w:rFonts w:ascii="Verdana" w:hAnsi="Verdana" w:cs="Verdana"/>
          <w:color w:val="3A3A3A"/>
          <w:lang w:val="en-US"/>
        </w:rPr>
        <w:t>s entirety at the following:</w:t>
      </w:r>
    </w:p>
    <w:p w:rsidR="008B2F80" w:rsidRPr="006C0BF2" w:rsidRDefault="003966DE" w:rsidP="00753365">
      <w:pPr>
        <w:widowControl w:val="0"/>
        <w:autoSpaceDE w:val="0"/>
        <w:autoSpaceDN w:val="0"/>
        <w:adjustRightInd w:val="0"/>
        <w:spacing w:after="266"/>
        <w:rPr>
          <w:rFonts w:ascii="Verdana" w:hAnsi="Verdana" w:cs="Verdana"/>
          <w:color w:val="114588"/>
          <w:sz w:val="18"/>
          <w:szCs w:val="18"/>
          <w:lang w:val="en-US"/>
        </w:rPr>
      </w:pPr>
      <w:hyperlink r:id="rId6" w:history="1">
        <w:r w:rsidR="00753365" w:rsidRPr="006C0BF2">
          <w:rPr>
            <w:rStyle w:val="Hyperlink"/>
            <w:rFonts w:ascii="Verdana" w:hAnsi="Verdana" w:cs="Verdana"/>
            <w:sz w:val="18"/>
            <w:szCs w:val="18"/>
            <w:lang w:val="en-US"/>
          </w:rPr>
          <w:t>http://eur-lex.europa.eu/LexUriServ/LexUriServ.do?uri=OJ:L:2014:078:0016:0021:EN:PDF</w:t>
        </w:r>
      </w:hyperlink>
    </w:p>
    <w:p w:rsidR="008B2F80" w:rsidRDefault="008B2F80" w:rsidP="008B2F80">
      <w:pPr>
        <w:jc w:val="both"/>
        <w:rPr>
          <w:b/>
        </w:rPr>
      </w:pPr>
    </w:p>
    <w:p w:rsidR="008B2F80" w:rsidRDefault="008B2F80" w:rsidP="008B2F80">
      <w:pPr>
        <w:jc w:val="both"/>
      </w:pPr>
      <w:r>
        <w:t>Copy of the Ukraine (Sanctions) (Oversea</w:t>
      </w:r>
      <w:r w:rsidR="006C0BF2">
        <w:t>s Territories) (No.3</w:t>
      </w:r>
      <w:r>
        <w:t>) Order 2014</w:t>
      </w:r>
      <w:r w:rsidR="006C0BF2">
        <w:t xml:space="preserve"> </w:t>
      </w:r>
      <w:r>
        <w:t xml:space="preserve">can be viewed on the FSC website:  </w:t>
      </w:r>
      <w:r w:rsidR="006C0BF2" w:rsidRPr="006C0BF2">
        <w:rPr>
          <w:u w:val="single"/>
        </w:rPr>
        <w:t>www.</w:t>
      </w:r>
      <w:r w:rsidRPr="006C0BF2">
        <w:rPr>
          <w:u w:val="single"/>
        </w:rPr>
        <w:t>fscmontserrat.org</w:t>
      </w:r>
      <w:r>
        <w:t xml:space="preserve"> under the heading </w:t>
      </w:r>
      <w:r w:rsidR="00B31117">
        <w:t>“</w:t>
      </w:r>
      <w:r>
        <w:t>Legislation</w:t>
      </w:r>
      <w:r w:rsidR="00B31117">
        <w:t>”.</w:t>
      </w:r>
    </w:p>
    <w:p w:rsidR="006C0BF2" w:rsidRDefault="006C0BF2" w:rsidP="008B2F80">
      <w:pPr>
        <w:jc w:val="both"/>
      </w:pPr>
    </w:p>
    <w:p w:rsidR="008B2F80" w:rsidRPr="008B2F80" w:rsidRDefault="008B2F80" w:rsidP="008B2F80">
      <w:pPr>
        <w:jc w:val="both"/>
      </w:pPr>
    </w:p>
    <w:p w:rsidR="008B2F80" w:rsidRDefault="008B2F80" w:rsidP="008B2F80">
      <w:pPr>
        <w:jc w:val="both"/>
      </w:pPr>
    </w:p>
    <w:p w:rsidR="008B2F80" w:rsidRDefault="008B2F80" w:rsidP="008B2F80">
      <w:pPr>
        <w:jc w:val="both"/>
      </w:pPr>
    </w:p>
    <w:p w:rsidR="00F774DF" w:rsidRDefault="00F774DF" w:rsidP="00BE0A6B">
      <w:pPr>
        <w:jc w:val="both"/>
      </w:pPr>
    </w:p>
    <w:sectPr w:rsidR="00F774DF" w:rsidSect="008B2F80">
      <w:pgSz w:w="11900" w:h="16840"/>
      <w:pgMar w:top="1247" w:right="1247"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944"/>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D05BD"/>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407BEE"/>
    <w:rsid w:val="000B6043"/>
    <w:rsid w:val="002406BB"/>
    <w:rsid w:val="003966DE"/>
    <w:rsid w:val="00407BEE"/>
    <w:rsid w:val="00466AB9"/>
    <w:rsid w:val="006C0BF2"/>
    <w:rsid w:val="00753365"/>
    <w:rsid w:val="008B2F80"/>
    <w:rsid w:val="00972DB6"/>
    <w:rsid w:val="00B31117"/>
    <w:rsid w:val="00BE0A6B"/>
    <w:rsid w:val="00F17B8C"/>
    <w:rsid w:val="00F77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OJ:L:2014:078:0016:0021:EN:PDF" TargetMode="External"/><Relationship Id="rId5" Type="http://schemas.openxmlformats.org/officeDocument/2006/relationships/hyperlink" Target="http://eur-lex.europa.eu/LexUriServ/LexUriServ.do?uri=OJ:L:2014:066:0026:0030:EN: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3732</Characters>
  <Application>Microsoft Office Word</Application>
  <DocSecurity>0</DocSecurity>
  <Lines>31</Lines>
  <Paragraphs>8</Paragraphs>
  <ScaleCrop>false</ScaleCrop>
  <Company>Microsoft</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Dulcie James</dc:creator>
  <cp:lastModifiedBy>Dunila Cuffy</cp:lastModifiedBy>
  <cp:revision>2</cp:revision>
  <dcterms:created xsi:type="dcterms:W3CDTF">2014-05-23T12:36:00Z</dcterms:created>
  <dcterms:modified xsi:type="dcterms:W3CDTF">2014-05-23T12:36:00Z</dcterms:modified>
</cp:coreProperties>
</file>