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9C55F9" w:rsidTr="0058072A">
        <w:trPr>
          <w:trHeight w:val="11772"/>
        </w:trPr>
        <w:tc>
          <w:tcPr>
            <w:tcW w:w="9648" w:type="dxa"/>
          </w:tcPr>
          <w:tbl>
            <w:tblPr>
              <w:tblW w:w="9947" w:type="dxa"/>
              <w:tblBorders>
                <w:top w:val="nil"/>
                <w:left w:val="nil"/>
                <w:bottom w:val="nil"/>
                <w:right w:val="nil"/>
              </w:tblBorders>
              <w:tblLayout w:type="fixed"/>
              <w:tblLook w:val="0000"/>
            </w:tblPr>
            <w:tblGrid>
              <w:gridCol w:w="9947"/>
            </w:tblGrid>
            <w:tr w:rsidR="00102FED" w:rsidRPr="009C55F9" w:rsidTr="00E70EB0">
              <w:trPr>
                <w:trHeight w:val="540"/>
              </w:trPr>
              <w:tc>
                <w:tcPr>
                  <w:tcW w:w="9947" w:type="dxa"/>
                </w:tcPr>
                <w:p w:rsidR="00430103" w:rsidRPr="00882079" w:rsidRDefault="00430103" w:rsidP="00430103">
                  <w:pPr>
                    <w:pStyle w:val="Default"/>
                    <w:jc w:val="both"/>
                    <w:rPr>
                      <w:rFonts w:ascii="Arial" w:hAnsi="Arial" w:cs="Arial"/>
                    </w:rPr>
                  </w:pPr>
                </w:p>
                <w:p w:rsidR="00430103" w:rsidRPr="00882079" w:rsidRDefault="00AA591F" w:rsidP="00430103">
                  <w:pPr>
                    <w:pStyle w:val="Default"/>
                    <w:jc w:val="both"/>
                    <w:rPr>
                      <w:rFonts w:ascii="Arial" w:hAnsi="Arial" w:cs="Arial"/>
                    </w:rPr>
                  </w:pPr>
                  <w:r>
                    <w:rPr>
                      <w:rFonts w:ascii="Arial" w:hAnsi="Arial" w:cs="Arial"/>
                    </w:rPr>
                    <w:t>09</w:t>
                  </w:r>
                  <w:r w:rsidR="00B1460A" w:rsidRPr="00882079">
                    <w:rPr>
                      <w:rFonts w:ascii="Arial" w:hAnsi="Arial" w:cs="Arial"/>
                    </w:rPr>
                    <w:t>/</w:t>
                  </w:r>
                  <w:r>
                    <w:rPr>
                      <w:rFonts w:ascii="Arial" w:hAnsi="Arial" w:cs="Arial"/>
                    </w:rPr>
                    <w:t>12</w:t>
                  </w:r>
                  <w:r w:rsidR="001E60A4" w:rsidRPr="00882079">
                    <w:rPr>
                      <w:rFonts w:ascii="Arial" w:hAnsi="Arial" w:cs="Arial"/>
                    </w:rPr>
                    <w:t xml:space="preserve">/2016 </w:t>
                  </w:r>
                </w:p>
                <w:p w:rsidR="008A5D7A" w:rsidRPr="00882079" w:rsidRDefault="008A5D7A" w:rsidP="00430103">
                  <w:pPr>
                    <w:pStyle w:val="Default"/>
                    <w:jc w:val="both"/>
                    <w:rPr>
                      <w:rFonts w:ascii="Arial" w:hAnsi="Arial" w:cs="Arial"/>
                      <w:b/>
                    </w:rPr>
                  </w:pPr>
                </w:p>
                <w:p w:rsidR="00AA591F" w:rsidRPr="00882079" w:rsidRDefault="005E46E9" w:rsidP="008A5D7A">
                  <w:pPr>
                    <w:pStyle w:val="Default"/>
                    <w:jc w:val="center"/>
                    <w:rPr>
                      <w:rFonts w:ascii="Arial" w:hAnsi="Arial" w:cs="Arial"/>
                      <w:b/>
                    </w:rPr>
                  </w:pPr>
                  <w:r>
                    <w:rPr>
                      <w:rFonts w:ascii="Arial" w:hAnsi="Arial" w:cs="Arial"/>
                      <w:b/>
                    </w:rPr>
                    <w:t>Syria</w:t>
                  </w:r>
                </w:p>
                <w:p w:rsidR="008A5D7A" w:rsidRPr="00882079" w:rsidRDefault="008A5D7A" w:rsidP="00180AC3">
                  <w:pPr>
                    <w:pStyle w:val="Default"/>
                    <w:jc w:val="both"/>
                    <w:rPr>
                      <w:rFonts w:ascii="Arial" w:hAnsi="Arial" w:cs="Arial"/>
                    </w:rPr>
                  </w:pPr>
                </w:p>
                <w:p w:rsidR="005E46E9" w:rsidRPr="005E46E9" w:rsidRDefault="00B1460A" w:rsidP="005E46E9">
                  <w:pPr>
                    <w:pStyle w:val="Default"/>
                    <w:jc w:val="both"/>
                    <w:rPr>
                      <w:rFonts w:ascii="Arial" w:hAnsi="Arial" w:cs="Arial"/>
                      <w:b/>
                    </w:rPr>
                  </w:pPr>
                  <w:r w:rsidRPr="00882079">
                    <w:rPr>
                      <w:rFonts w:ascii="Arial" w:hAnsi="Arial" w:cs="Arial"/>
                      <w:b/>
                    </w:rPr>
                    <w:t xml:space="preserve">Introduction </w:t>
                  </w:r>
                </w:p>
                <w:p w:rsidR="005E46E9" w:rsidRDefault="005E46E9" w:rsidP="005E46E9">
                  <w:pPr>
                    <w:pStyle w:val="Default"/>
                  </w:pPr>
                  <w:r>
                    <w:t xml:space="preserve"> </w:t>
                  </w:r>
                </w:p>
                <w:p w:rsidR="00AA591F" w:rsidRPr="005E46E9" w:rsidRDefault="005E46E9" w:rsidP="00E70EB0">
                  <w:pPr>
                    <w:pStyle w:val="Default"/>
                    <w:numPr>
                      <w:ilvl w:val="0"/>
                      <w:numId w:val="18"/>
                    </w:numPr>
                    <w:spacing w:line="276" w:lineRule="auto"/>
                    <w:rPr>
                      <w:sz w:val="22"/>
                      <w:szCs w:val="22"/>
                    </w:rPr>
                  </w:pPr>
                  <w:r w:rsidRPr="00E70EB0">
                    <w:rPr>
                      <w:rFonts w:ascii="Arial" w:hAnsi="Arial" w:cs="Arial"/>
                    </w:rPr>
                    <w:t>Council Regulation (EU) 36/2012 (“the Regulation”) imposing financial sanctions against Syria has been amended to ensure the effective delivery of humanitarian aid and civilian assistance in</w:t>
                  </w:r>
                  <w:r>
                    <w:rPr>
                      <w:sz w:val="22"/>
                      <w:szCs w:val="22"/>
                    </w:rPr>
                    <w:t xml:space="preserve"> Syria. </w:t>
                  </w:r>
                </w:p>
                <w:p w:rsidR="00CF3567" w:rsidRPr="00882079" w:rsidRDefault="00CF3567" w:rsidP="00064ADA">
                  <w:pPr>
                    <w:pStyle w:val="Default"/>
                    <w:jc w:val="both"/>
                    <w:rPr>
                      <w:rFonts w:ascii="Arial" w:hAnsi="Arial" w:cs="Arial"/>
                    </w:rPr>
                  </w:pPr>
                </w:p>
                <w:p w:rsidR="00AA591F" w:rsidRPr="00AA591F" w:rsidRDefault="00B1460A" w:rsidP="00AA591F">
                  <w:pPr>
                    <w:pStyle w:val="Default"/>
                    <w:ind w:hanging="270"/>
                    <w:jc w:val="both"/>
                    <w:rPr>
                      <w:rFonts w:ascii="Arial" w:hAnsi="Arial" w:cs="Arial"/>
                      <w:b/>
                    </w:rPr>
                  </w:pPr>
                  <w:r w:rsidRPr="00882079">
                    <w:rPr>
                      <w:rFonts w:ascii="Arial" w:hAnsi="Arial" w:cs="Arial"/>
                      <w:b/>
                    </w:rPr>
                    <w:t>N</w:t>
                  </w:r>
                  <w:r w:rsidR="00342FCB" w:rsidRPr="00882079">
                    <w:rPr>
                      <w:rFonts w:ascii="Arial" w:hAnsi="Arial" w:cs="Arial"/>
                      <w:b/>
                    </w:rPr>
                    <w:t>N</w:t>
                  </w:r>
                  <w:r w:rsidR="007331EC" w:rsidRPr="00882079">
                    <w:rPr>
                      <w:rFonts w:ascii="Arial" w:hAnsi="Arial" w:cs="Arial"/>
                      <w:b/>
                    </w:rPr>
                    <w:t>otice summary (Full details are provided in the Annex to this Notice)</w:t>
                  </w:r>
                </w:p>
                <w:p w:rsidR="005E46E9" w:rsidRDefault="00AA591F" w:rsidP="005E46E9">
                  <w:pPr>
                    <w:pStyle w:val="Default"/>
                  </w:pPr>
                  <w:r>
                    <w:t xml:space="preserve"> </w:t>
                  </w:r>
                </w:p>
                <w:p w:rsidR="005E46E9" w:rsidRPr="00E70EB0" w:rsidRDefault="005E46E9" w:rsidP="00E70EB0">
                  <w:pPr>
                    <w:pStyle w:val="Default"/>
                    <w:numPr>
                      <w:ilvl w:val="0"/>
                      <w:numId w:val="18"/>
                    </w:numPr>
                    <w:spacing w:line="276" w:lineRule="auto"/>
                    <w:rPr>
                      <w:rFonts w:ascii="Arial" w:hAnsi="Arial" w:cs="Arial"/>
                    </w:rPr>
                  </w:pPr>
                  <w:r w:rsidRPr="00E70EB0">
                    <w:rPr>
                      <w:rFonts w:ascii="Arial" w:hAnsi="Arial" w:cs="Arial"/>
                    </w:rPr>
                    <w:t xml:space="preserve">On 7 December 2016, Council Implementing Regulation (EU) No 2016/2137 (“the Amending Regulation”) was published in the Official Journal of the European Union (O.J. L 332/3, 7.12.2016) by the Council of the European Union. </w:t>
                  </w:r>
                </w:p>
                <w:p w:rsidR="005E46E9" w:rsidRPr="00E70EB0" w:rsidRDefault="005E46E9" w:rsidP="00E70EB0">
                  <w:pPr>
                    <w:pStyle w:val="Default"/>
                    <w:spacing w:line="276" w:lineRule="auto"/>
                    <w:rPr>
                      <w:rFonts w:ascii="Arial" w:hAnsi="Arial" w:cs="Arial"/>
                    </w:rPr>
                  </w:pPr>
                  <w:r w:rsidRPr="00E70EB0">
                    <w:rPr>
                      <w:rFonts w:ascii="Arial" w:hAnsi="Arial" w:cs="Arial"/>
                    </w:rPr>
                    <w:t xml:space="preserve"> </w:t>
                  </w:r>
                </w:p>
                <w:p w:rsidR="005E46E9" w:rsidRPr="00E70EB0" w:rsidRDefault="005E46E9" w:rsidP="00E70EB0">
                  <w:pPr>
                    <w:pStyle w:val="Default"/>
                    <w:numPr>
                      <w:ilvl w:val="0"/>
                      <w:numId w:val="18"/>
                    </w:numPr>
                    <w:spacing w:after="385" w:line="276" w:lineRule="auto"/>
                    <w:rPr>
                      <w:rFonts w:ascii="Arial" w:hAnsi="Arial" w:cs="Arial"/>
                    </w:rPr>
                  </w:pPr>
                  <w:r w:rsidRPr="00E70EB0">
                    <w:rPr>
                      <w:rFonts w:ascii="Arial" w:hAnsi="Arial" w:cs="Arial"/>
                    </w:rPr>
                    <w:t xml:space="preserve">The Amending Regulation reflects Decision (CFSP) 2016/2144, adopted by the Council on 6 December 2016, which provides for amendments to allow for the purchase and transport of oil and petroleum products and the related provision of financing or financial assistance in Syria by clearly defined categories of persons and entities for the sole purpose of providing humanitarian relief or assistance to the civilian population in Syria. </w:t>
                  </w:r>
                </w:p>
                <w:p w:rsidR="005E46E9" w:rsidRPr="00E70EB0" w:rsidRDefault="005E46E9" w:rsidP="00E70EB0">
                  <w:pPr>
                    <w:pStyle w:val="Default"/>
                    <w:numPr>
                      <w:ilvl w:val="0"/>
                      <w:numId w:val="18"/>
                    </w:numPr>
                    <w:spacing w:line="276" w:lineRule="auto"/>
                    <w:rPr>
                      <w:rFonts w:ascii="Arial" w:hAnsi="Arial" w:cs="Arial"/>
                    </w:rPr>
                  </w:pPr>
                  <w:r w:rsidRPr="00E70EB0">
                    <w:rPr>
                      <w:rFonts w:ascii="Arial" w:hAnsi="Arial" w:cs="Arial"/>
                    </w:rPr>
                    <w:t xml:space="preserve">The Amending Regulation amended the Regulation with effect from 8 December 2016. </w:t>
                  </w:r>
                </w:p>
                <w:p w:rsidR="005E46E9" w:rsidRPr="00882079" w:rsidRDefault="005E46E9" w:rsidP="00860581">
                  <w:pPr>
                    <w:pStyle w:val="Default"/>
                    <w:spacing w:line="276" w:lineRule="auto"/>
                    <w:jc w:val="both"/>
                    <w:rPr>
                      <w:rFonts w:ascii="Arial" w:hAnsi="Arial" w:cs="Arial"/>
                      <w:b/>
                    </w:rPr>
                  </w:pPr>
                </w:p>
                <w:p w:rsidR="00AA591F" w:rsidRDefault="005E46E9" w:rsidP="00C613AA">
                  <w:pPr>
                    <w:pStyle w:val="Default"/>
                    <w:spacing w:line="276" w:lineRule="auto"/>
                    <w:jc w:val="both"/>
                    <w:rPr>
                      <w:rFonts w:ascii="Arial" w:hAnsi="Arial" w:cs="Arial"/>
                      <w:b/>
                    </w:rPr>
                  </w:pPr>
                  <w:r>
                    <w:rPr>
                      <w:rFonts w:ascii="Arial" w:hAnsi="Arial" w:cs="Arial"/>
                      <w:b/>
                    </w:rPr>
                    <w:t xml:space="preserve">Summary of amendments </w:t>
                  </w:r>
                </w:p>
                <w:p w:rsidR="00AA591F" w:rsidRDefault="00AA591F" w:rsidP="00AA591F">
                  <w:pPr>
                    <w:pStyle w:val="Default"/>
                  </w:pPr>
                </w:p>
                <w:p w:rsidR="005E46E9" w:rsidRPr="000F7A04" w:rsidRDefault="005E46E9" w:rsidP="005E46E9">
                  <w:pPr>
                    <w:pStyle w:val="Default"/>
                    <w:numPr>
                      <w:ilvl w:val="0"/>
                      <w:numId w:val="18"/>
                    </w:numPr>
                    <w:spacing w:line="276" w:lineRule="auto"/>
                    <w:rPr>
                      <w:rFonts w:ascii="Arial" w:hAnsi="Arial" w:cs="Arial"/>
                    </w:rPr>
                  </w:pPr>
                  <w:r>
                    <w:rPr>
                      <w:rFonts w:ascii="Arial" w:hAnsi="Arial" w:cs="Arial"/>
                    </w:rPr>
                    <w:t>In summary, the following amendments have been made to the Regulation</w:t>
                  </w:r>
                  <w:r w:rsidR="00AA591F" w:rsidRPr="006F56F6">
                    <w:rPr>
                      <w:rFonts w:ascii="Arial" w:hAnsi="Arial" w:cs="Arial"/>
                    </w:rPr>
                    <w:t xml:space="preserve">: </w:t>
                  </w:r>
                </w:p>
                <w:p w:rsidR="005E46E9" w:rsidRDefault="005E46E9" w:rsidP="005E46E9">
                  <w:pPr>
                    <w:pStyle w:val="Default"/>
                  </w:pPr>
                  <w:r>
                    <w:t xml:space="preserve"> </w:t>
                  </w:r>
                </w:p>
                <w:p w:rsidR="005E46E9" w:rsidRPr="000F7A04" w:rsidRDefault="005E46E9" w:rsidP="000F7A04">
                  <w:pPr>
                    <w:pStyle w:val="Default"/>
                    <w:numPr>
                      <w:ilvl w:val="0"/>
                      <w:numId w:val="23"/>
                    </w:numPr>
                    <w:spacing w:line="276" w:lineRule="auto"/>
                    <w:rPr>
                      <w:rFonts w:ascii="Arial" w:hAnsi="Arial" w:cs="Arial"/>
                    </w:rPr>
                  </w:pPr>
                  <w:r w:rsidRPr="000F7A04">
                    <w:rPr>
                      <w:rFonts w:ascii="Arial" w:hAnsi="Arial" w:cs="Arial"/>
                    </w:rPr>
                    <w:t xml:space="preserve">The prohibition set out in points (b), (c) and (e) of Article 6 shall not apply to the purchase or transport in Syria of petroleum products, or to the related provision of financing or financial assistance by public bodies or by legal persons, entities or </w:t>
                  </w:r>
                  <w:r w:rsidRPr="000F7A04">
                    <w:rPr>
                      <w:rFonts w:ascii="Arial" w:hAnsi="Arial" w:cs="Arial"/>
                      <w:color w:val="auto"/>
                    </w:rPr>
                    <w:t xml:space="preserve">bodies which receive public funding from the European Union or Member States to provide humanitarian relief or assistance to the civilian population in Syria, provided that such products are purchased or transported for the sole purposes of providing humanitarian relief in Syria or assistance to the civilian population in Syria. </w:t>
                  </w:r>
                </w:p>
                <w:p w:rsidR="005E46E9" w:rsidRPr="000F7A04" w:rsidRDefault="005E46E9" w:rsidP="000F7A04">
                  <w:pPr>
                    <w:pStyle w:val="Default"/>
                    <w:spacing w:line="276" w:lineRule="auto"/>
                    <w:ind w:left="360"/>
                    <w:rPr>
                      <w:rFonts w:ascii="Arial" w:hAnsi="Arial" w:cs="Arial"/>
                    </w:rPr>
                  </w:pPr>
                </w:p>
                <w:p w:rsidR="005E46E9" w:rsidRPr="00E70EB0" w:rsidRDefault="005E46E9" w:rsidP="000F7A04">
                  <w:pPr>
                    <w:pStyle w:val="Default"/>
                    <w:numPr>
                      <w:ilvl w:val="0"/>
                      <w:numId w:val="23"/>
                    </w:numPr>
                    <w:spacing w:after="387" w:line="276" w:lineRule="auto"/>
                    <w:rPr>
                      <w:rFonts w:ascii="Arial" w:hAnsi="Arial" w:cs="Arial"/>
                      <w:color w:val="auto"/>
                    </w:rPr>
                  </w:pPr>
                  <w:r w:rsidRPr="000F7A04">
                    <w:rPr>
                      <w:rFonts w:ascii="Arial" w:hAnsi="Arial" w:cs="Arial"/>
                      <w:color w:val="auto"/>
                    </w:rPr>
                    <w:t xml:space="preserve">The competent authority of a Member State may </w:t>
                  </w:r>
                  <w:r w:rsidR="00E70EB0" w:rsidRPr="000F7A04">
                    <w:rPr>
                      <w:rFonts w:ascii="Arial" w:hAnsi="Arial" w:cs="Arial"/>
                      <w:color w:val="auto"/>
                    </w:rPr>
                    <w:t>authorize</w:t>
                  </w:r>
                  <w:r w:rsidRPr="000F7A04">
                    <w:rPr>
                      <w:rFonts w:ascii="Arial" w:hAnsi="Arial" w:cs="Arial"/>
                      <w:color w:val="auto"/>
                    </w:rPr>
                    <w:t xml:space="preserve">, subject to terms and conditions, the purchase and transport in Syria of petroleum products or the provision of related financing or financial assistance where this is for the sole </w:t>
                  </w:r>
                  <w:r w:rsidRPr="000F7A04">
                    <w:rPr>
                      <w:rFonts w:ascii="Arial" w:hAnsi="Arial" w:cs="Arial"/>
                      <w:color w:val="auto"/>
                    </w:rPr>
                    <w:lastRenderedPageBreak/>
                    <w:t xml:space="preserve">purpose of providing humanitarian relief or assistance to the civilian population in Syria and does not breach any of the prohibitions in the Regulation. </w:t>
                  </w:r>
                </w:p>
                <w:p w:rsidR="005E46E9" w:rsidRPr="000F7A04" w:rsidRDefault="005E46E9" w:rsidP="000F7A04">
                  <w:pPr>
                    <w:pStyle w:val="Default"/>
                    <w:numPr>
                      <w:ilvl w:val="0"/>
                      <w:numId w:val="23"/>
                    </w:numPr>
                    <w:spacing w:line="276" w:lineRule="auto"/>
                    <w:rPr>
                      <w:rFonts w:ascii="Arial" w:hAnsi="Arial" w:cs="Arial"/>
                      <w:color w:val="auto"/>
                    </w:rPr>
                  </w:pPr>
                  <w:r w:rsidRPr="000F7A04">
                    <w:rPr>
                      <w:rFonts w:ascii="Arial" w:hAnsi="Arial" w:cs="Arial"/>
                      <w:color w:val="auto"/>
                    </w:rPr>
                    <w:t xml:space="preserve">These amendments do not affect compliance with Council Regulations 2580/2001, 881/2002, and 2016/1686, which deal with </w:t>
                  </w:r>
                  <w:r w:rsidR="000F7A04" w:rsidRPr="000F7A04">
                    <w:rPr>
                      <w:rFonts w:ascii="Arial" w:hAnsi="Arial" w:cs="Arial"/>
                      <w:color w:val="auto"/>
                    </w:rPr>
                    <w:t>combating</w:t>
                  </w:r>
                  <w:r w:rsidRPr="000F7A04">
                    <w:rPr>
                      <w:rFonts w:ascii="Arial" w:hAnsi="Arial" w:cs="Arial"/>
                      <w:color w:val="auto"/>
                    </w:rPr>
                    <w:t xml:space="preserve"> terrorism and the </w:t>
                  </w:r>
                  <w:proofErr w:type="spellStart"/>
                  <w:r w:rsidRPr="000F7A04">
                    <w:rPr>
                      <w:rFonts w:ascii="Arial" w:hAnsi="Arial" w:cs="Arial"/>
                      <w:color w:val="auto"/>
                    </w:rPr>
                    <w:t>Isil</w:t>
                  </w:r>
                  <w:proofErr w:type="spellEnd"/>
                  <w:r w:rsidRPr="000F7A04">
                    <w:rPr>
                      <w:rFonts w:ascii="Arial" w:hAnsi="Arial" w:cs="Arial"/>
                      <w:color w:val="auto"/>
                    </w:rPr>
                    <w:t xml:space="preserve"> (</w:t>
                  </w:r>
                  <w:proofErr w:type="spellStart"/>
                  <w:r w:rsidRPr="000F7A04">
                    <w:rPr>
                      <w:rFonts w:ascii="Arial" w:hAnsi="Arial" w:cs="Arial"/>
                      <w:color w:val="auto"/>
                    </w:rPr>
                    <w:t>Da’esh</w:t>
                  </w:r>
                  <w:proofErr w:type="spellEnd"/>
                  <w:r w:rsidRPr="000F7A04">
                    <w:rPr>
                      <w:rFonts w:ascii="Arial" w:hAnsi="Arial" w:cs="Arial"/>
                      <w:color w:val="auto"/>
                    </w:rPr>
                    <w:t xml:space="preserve">) and Al-Qaida </w:t>
                  </w:r>
                  <w:proofErr w:type="spellStart"/>
                  <w:r w:rsidRPr="000F7A04">
                    <w:rPr>
                      <w:rFonts w:ascii="Arial" w:hAnsi="Arial" w:cs="Arial"/>
                      <w:color w:val="auto"/>
                    </w:rPr>
                    <w:t>organisations</w:t>
                  </w:r>
                  <w:proofErr w:type="spellEnd"/>
                  <w:r w:rsidRPr="000F7A04">
                    <w:rPr>
                      <w:rFonts w:ascii="Arial" w:hAnsi="Arial" w:cs="Arial"/>
                      <w:color w:val="auto"/>
                    </w:rPr>
                    <w:t xml:space="preserve"> respectively. </w:t>
                  </w:r>
                </w:p>
                <w:tbl>
                  <w:tblPr>
                    <w:tblW w:w="0" w:type="auto"/>
                    <w:tblBorders>
                      <w:top w:val="nil"/>
                      <w:left w:val="nil"/>
                      <w:bottom w:val="nil"/>
                      <w:right w:val="nil"/>
                    </w:tblBorders>
                    <w:tblLayout w:type="fixed"/>
                    <w:tblLook w:val="0000"/>
                  </w:tblPr>
                  <w:tblGrid>
                    <w:gridCol w:w="8615"/>
                  </w:tblGrid>
                  <w:tr w:rsidR="005E46E9" w:rsidRPr="000F7A04" w:rsidTr="00E70EB0">
                    <w:trPr>
                      <w:trHeight w:val="4036"/>
                    </w:trPr>
                    <w:tc>
                      <w:tcPr>
                        <w:tcW w:w="8615" w:type="dxa"/>
                      </w:tcPr>
                      <w:p w:rsidR="005E46E9" w:rsidRPr="000F7A04" w:rsidRDefault="005E46E9" w:rsidP="000F7A04">
                        <w:pPr>
                          <w:pStyle w:val="Default"/>
                          <w:spacing w:line="276" w:lineRule="auto"/>
                          <w:rPr>
                            <w:rFonts w:ascii="Arial" w:hAnsi="Arial" w:cs="Arial"/>
                            <w:color w:val="auto"/>
                          </w:rPr>
                        </w:pPr>
                      </w:p>
                      <w:p w:rsidR="005E46E9" w:rsidRPr="000F7A04" w:rsidRDefault="005E46E9" w:rsidP="000F7A04">
                        <w:pPr>
                          <w:pStyle w:val="Default"/>
                          <w:numPr>
                            <w:ilvl w:val="0"/>
                            <w:numId w:val="23"/>
                          </w:numPr>
                          <w:spacing w:line="276" w:lineRule="auto"/>
                          <w:rPr>
                            <w:rFonts w:ascii="Arial" w:hAnsi="Arial" w:cs="Arial"/>
                          </w:rPr>
                        </w:pPr>
                        <w:r w:rsidRPr="000F7A04">
                          <w:rPr>
                            <w:rFonts w:ascii="Arial" w:hAnsi="Arial" w:cs="Arial"/>
                          </w:rPr>
                          <w:t xml:space="preserve">The prohibition set out in points (b), (c) and (e) of Article 6 shall not apply to the purchase or transport in Syria of petroleum products or the related provision of financing or financial assistance by a diplomatic or consular mission, where such products are purchased or transported for official purposes of the mission. </w:t>
                        </w:r>
                      </w:p>
                      <w:p w:rsidR="000F7A04" w:rsidRPr="000F7A04" w:rsidRDefault="000F7A04" w:rsidP="000F7A04">
                        <w:pPr>
                          <w:pStyle w:val="Default"/>
                          <w:spacing w:line="276" w:lineRule="auto"/>
                          <w:ind w:left="1080"/>
                          <w:rPr>
                            <w:rFonts w:ascii="Arial" w:hAnsi="Arial" w:cs="Arial"/>
                          </w:rPr>
                        </w:pPr>
                      </w:p>
                      <w:p w:rsidR="000F7A04" w:rsidRPr="00E70EB0" w:rsidRDefault="005E46E9" w:rsidP="00E70EB0">
                        <w:pPr>
                          <w:pStyle w:val="Default"/>
                          <w:numPr>
                            <w:ilvl w:val="0"/>
                            <w:numId w:val="23"/>
                          </w:numPr>
                          <w:spacing w:line="276" w:lineRule="auto"/>
                          <w:rPr>
                            <w:rFonts w:ascii="Arial" w:hAnsi="Arial" w:cs="Arial"/>
                          </w:rPr>
                        </w:pPr>
                        <w:r w:rsidRPr="000F7A04">
                          <w:rPr>
                            <w:rFonts w:ascii="Arial" w:hAnsi="Arial" w:cs="Arial"/>
                          </w:rPr>
                          <w:t xml:space="preserve">The prohibition in Article 14(2) shall not apply to funds or economic resources made available by public bodies or by legal persons, entities or bodies which receive public funding from the European Union or Member States to provide humanitarian relief in Syria or assistance to the civilian population in Syria where the provision of funds or economic resources are in accordance with point </w:t>
                        </w:r>
                        <w:proofErr w:type="spellStart"/>
                        <w:r w:rsidRPr="000F7A04">
                          <w:rPr>
                            <w:rFonts w:ascii="Arial" w:hAnsi="Arial" w:cs="Arial"/>
                          </w:rPr>
                          <w:t>i</w:t>
                        </w:r>
                        <w:proofErr w:type="spellEnd"/>
                        <w:r w:rsidRPr="000F7A04">
                          <w:rPr>
                            <w:rFonts w:ascii="Arial" w:hAnsi="Arial" w:cs="Arial"/>
                          </w:rPr>
                          <w:t xml:space="preserve"> above. </w:t>
                        </w:r>
                      </w:p>
                      <w:p w:rsidR="000F7A04" w:rsidRPr="000F7A04" w:rsidRDefault="000F7A04" w:rsidP="000F7A04">
                        <w:pPr>
                          <w:pStyle w:val="Default"/>
                          <w:spacing w:line="276" w:lineRule="auto"/>
                          <w:ind w:left="1080"/>
                          <w:rPr>
                            <w:rFonts w:ascii="Arial" w:hAnsi="Arial" w:cs="Arial"/>
                          </w:rPr>
                        </w:pPr>
                      </w:p>
                      <w:p w:rsidR="005E46E9" w:rsidRPr="000F7A04" w:rsidRDefault="005E46E9" w:rsidP="000F7A04">
                        <w:pPr>
                          <w:pStyle w:val="Default"/>
                          <w:numPr>
                            <w:ilvl w:val="0"/>
                            <w:numId w:val="23"/>
                          </w:numPr>
                          <w:spacing w:line="276" w:lineRule="auto"/>
                          <w:rPr>
                            <w:rFonts w:ascii="Arial" w:hAnsi="Arial" w:cs="Arial"/>
                          </w:rPr>
                        </w:pPr>
                        <w:r w:rsidRPr="000F7A04">
                          <w:rPr>
                            <w:rFonts w:ascii="Arial" w:hAnsi="Arial" w:cs="Arial"/>
                          </w:rPr>
                          <w:t xml:space="preserve">In cases not covered by point v, competent authorities may </w:t>
                        </w:r>
                        <w:proofErr w:type="spellStart"/>
                        <w:r w:rsidRPr="000F7A04">
                          <w:rPr>
                            <w:rFonts w:ascii="Arial" w:hAnsi="Arial" w:cs="Arial"/>
                          </w:rPr>
                          <w:t>authorise</w:t>
                        </w:r>
                        <w:proofErr w:type="spellEnd"/>
                        <w:r w:rsidRPr="000F7A04">
                          <w:rPr>
                            <w:rFonts w:ascii="Arial" w:hAnsi="Arial" w:cs="Arial"/>
                          </w:rPr>
                          <w:t xml:space="preserve"> the making available of certain funds or economic resources, subject to conditions, provided that the funds or economic resources are necessary for the sole purpose of providing humanitarian relief in Syria or assistance to the civilian population in Syria. </w:t>
                        </w:r>
                      </w:p>
                      <w:p w:rsidR="000F7A04" w:rsidRPr="000F7A04" w:rsidRDefault="000F7A04" w:rsidP="000F7A04">
                        <w:pPr>
                          <w:pStyle w:val="Default"/>
                          <w:spacing w:line="276" w:lineRule="auto"/>
                          <w:ind w:left="1080"/>
                          <w:rPr>
                            <w:rFonts w:ascii="Arial" w:hAnsi="Arial" w:cs="Arial"/>
                          </w:rPr>
                        </w:pPr>
                      </w:p>
                      <w:p w:rsidR="005E46E9" w:rsidRPr="000F7A04" w:rsidRDefault="005E46E9" w:rsidP="000F7A04">
                        <w:pPr>
                          <w:pStyle w:val="Default"/>
                          <w:numPr>
                            <w:ilvl w:val="0"/>
                            <w:numId w:val="23"/>
                          </w:numPr>
                          <w:spacing w:line="276" w:lineRule="auto"/>
                          <w:rPr>
                            <w:rFonts w:ascii="Arial" w:hAnsi="Arial" w:cs="Arial"/>
                          </w:rPr>
                        </w:pPr>
                        <w:r w:rsidRPr="000F7A04">
                          <w:rPr>
                            <w:rFonts w:ascii="Arial" w:hAnsi="Arial" w:cs="Arial"/>
                          </w:rPr>
                          <w:t xml:space="preserve">The competent authority of a Member State may </w:t>
                        </w:r>
                        <w:proofErr w:type="spellStart"/>
                        <w:r w:rsidRPr="000F7A04">
                          <w:rPr>
                            <w:rFonts w:ascii="Arial" w:hAnsi="Arial" w:cs="Arial"/>
                          </w:rPr>
                          <w:t>authorise</w:t>
                        </w:r>
                        <w:proofErr w:type="spellEnd"/>
                        <w:r w:rsidRPr="000F7A04">
                          <w:rPr>
                            <w:rFonts w:ascii="Arial" w:hAnsi="Arial" w:cs="Arial"/>
                          </w:rPr>
                          <w:t xml:space="preserve"> the release of certain frozen funds or economic resources, subject to conditions, to the UN provided that they are necessary for the sole purpose of providing humanitarian relief in Syria or assistance to the civilian population in Syria. </w:t>
                        </w:r>
                      </w:p>
                      <w:p w:rsidR="000F7A04" w:rsidRPr="000F7A04" w:rsidRDefault="000F7A04" w:rsidP="000F7A04">
                        <w:pPr>
                          <w:pStyle w:val="Default"/>
                          <w:spacing w:line="276" w:lineRule="auto"/>
                          <w:rPr>
                            <w:rFonts w:ascii="Arial" w:hAnsi="Arial" w:cs="Arial"/>
                            <w:color w:val="auto"/>
                          </w:rPr>
                        </w:pPr>
                      </w:p>
                      <w:p w:rsidR="000F7A04" w:rsidRPr="000F7A04" w:rsidRDefault="000F7A04" w:rsidP="000F7A04">
                        <w:pPr>
                          <w:pStyle w:val="Default"/>
                          <w:numPr>
                            <w:ilvl w:val="0"/>
                            <w:numId w:val="23"/>
                          </w:numPr>
                          <w:spacing w:line="276" w:lineRule="auto"/>
                          <w:rPr>
                            <w:rFonts w:ascii="Arial" w:hAnsi="Arial" w:cs="Arial"/>
                          </w:rPr>
                        </w:pPr>
                        <w:r w:rsidRPr="000F7A04">
                          <w:rPr>
                            <w:rFonts w:ascii="Arial" w:hAnsi="Arial" w:cs="Arial"/>
                          </w:rPr>
                          <w:t xml:space="preserve">The prohibition in Article 14(2) shall not apply to funds or economic resources made available from the account of a diplomatic or consular mission where the provision of such funds or economic resources is for official purposes of the mission in accordance with point iv. Annex IV, listing Crude Oil and Petroleum products referred to in Article 6, is replaced. </w:t>
                        </w:r>
                      </w:p>
                      <w:p w:rsidR="000F7A04" w:rsidRPr="000F7A04" w:rsidRDefault="000F7A04" w:rsidP="000F7A04">
                        <w:pPr>
                          <w:pStyle w:val="Default"/>
                          <w:spacing w:line="276" w:lineRule="auto"/>
                          <w:ind w:left="1080"/>
                          <w:rPr>
                            <w:rFonts w:ascii="Arial" w:hAnsi="Arial" w:cs="Arial"/>
                          </w:rPr>
                        </w:pPr>
                      </w:p>
                      <w:p w:rsidR="005E46E9" w:rsidRPr="000F7A04" w:rsidRDefault="005E46E9" w:rsidP="000F7A04">
                        <w:pPr>
                          <w:pStyle w:val="Default"/>
                          <w:spacing w:line="276" w:lineRule="auto"/>
                          <w:rPr>
                            <w:rFonts w:ascii="Arial" w:hAnsi="Arial" w:cs="Arial"/>
                          </w:rPr>
                        </w:pPr>
                      </w:p>
                    </w:tc>
                  </w:tr>
                </w:tbl>
                <w:p w:rsidR="00A938AF" w:rsidRDefault="00A938AF" w:rsidP="00860581">
                  <w:pPr>
                    <w:pStyle w:val="Default"/>
                    <w:spacing w:line="276" w:lineRule="auto"/>
                    <w:jc w:val="both"/>
                    <w:rPr>
                      <w:rFonts w:ascii="Arial" w:hAnsi="Arial" w:cs="Arial"/>
                      <w:color w:val="auto"/>
                    </w:rPr>
                  </w:pPr>
                </w:p>
                <w:p w:rsidR="000F7A04" w:rsidRDefault="000F7A04" w:rsidP="00860581">
                  <w:pPr>
                    <w:pStyle w:val="Default"/>
                    <w:spacing w:line="276" w:lineRule="auto"/>
                    <w:jc w:val="both"/>
                    <w:rPr>
                      <w:rFonts w:ascii="Arial" w:hAnsi="Arial" w:cs="Arial"/>
                    </w:rPr>
                  </w:pPr>
                </w:p>
                <w:p w:rsidR="00E70EB0" w:rsidRDefault="00E70EB0" w:rsidP="00860581">
                  <w:pPr>
                    <w:pStyle w:val="Default"/>
                    <w:spacing w:line="276" w:lineRule="auto"/>
                    <w:jc w:val="both"/>
                    <w:rPr>
                      <w:rFonts w:ascii="Arial" w:hAnsi="Arial" w:cs="Arial"/>
                    </w:rPr>
                  </w:pPr>
                </w:p>
                <w:p w:rsidR="00E70EB0" w:rsidRPr="00882079" w:rsidRDefault="00E70EB0" w:rsidP="00860581">
                  <w:pPr>
                    <w:pStyle w:val="Default"/>
                    <w:spacing w:line="276" w:lineRule="auto"/>
                    <w:jc w:val="both"/>
                    <w:rPr>
                      <w:rFonts w:ascii="Arial" w:hAnsi="Arial" w:cs="Arial"/>
                    </w:rPr>
                  </w:pPr>
                </w:p>
                <w:p w:rsidR="00FD57EA" w:rsidRPr="00E70EB0" w:rsidRDefault="00A938AF" w:rsidP="00E70EB0">
                  <w:pPr>
                    <w:pStyle w:val="Default"/>
                    <w:spacing w:line="276" w:lineRule="auto"/>
                    <w:jc w:val="both"/>
                    <w:rPr>
                      <w:rFonts w:ascii="Arial" w:hAnsi="Arial" w:cs="Arial"/>
                      <w:b/>
                    </w:rPr>
                  </w:pPr>
                  <w:r w:rsidRPr="00882079">
                    <w:rPr>
                      <w:rFonts w:ascii="Arial" w:hAnsi="Arial" w:cs="Arial"/>
                      <w:b/>
                    </w:rPr>
                    <w:t xml:space="preserve">Further Information </w:t>
                  </w:r>
                </w:p>
                <w:p w:rsidR="000F7A04" w:rsidRDefault="000F7A04" w:rsidP="000F7A04">
                  <w:pPr>
                    <w:pStyle w:val="Default"/>
                  </w:pPr>
                </w:p>
                <w:p w:rsidR="000F7A04" w:rsidRPr="000F7A04" w:rsidRDefault="000F7A04" w:rsidP="000F7A04">
                  <w:pPr>
                    <w:pStyle w:val="Default"/>
                    <w:numPr>
                      <w:ilvl w:val="0"/>
                      <w:numId w:val="18"/>
                    </w:numPr>
                    <w:rPr>
                      <w:rFonts w:ascii="Arial" w:hAnsi="Arial" w:cs="Arial"/>
                    </w:rPr>
                  </w:pPr>
                  <w:r w:rsidRPr="000F7A04">
                    <w:rPr>
                      <w:rFonts w:ascii="Arial" w:hAnsi="Arial" w:cs="Arial"/>
                    </w:rPr>
                    <w:t xml:space="preserve">A copy of the Amending Regulation can be obtained from the website of the Official </w:t>
                  </w:r>
                </w:p>
                <w:p w:rsidR="000F7A04" w:rsidRPr="000F7A04" w:rsidRDefault="000F7A04" w:rsidP="000F7A04">
                  <w:pPr>
                    <w:pStyle w:val="Default"/>
                    <w:ind w:left="360"/>
                    <w:rPr>
                      <w:rFonts w:ascii="Arial" w:hAnsi="Arial" w:cs="Arial"/>
                    </w:rPr>
                  </w:pPr>
                  <w:r w:rsidRPr="000F7A04">
                    <w:rPr>
                      <w:rFonts w:ascii="Arial" w:hAnsi="Arial" w:cs="Arial"/>
                    </w:rPr>
                    <w:t xml:space="preserve">Journal of the European Union: </w:t>
                  </w:r>
                </w:p>
                <w:p w:rsidR="000F7A04" w:rsidRPr="000F7A04" w:rsidRDefault="000F7A04" w:rsidP="000F7A04">
                  <w:pPr>
                    <w:pStyle w:val="Default"/>
                    <w:ind w:left="360"/>
                    <w:rPr>
                      <w:rFonts w:ascii="Arial" w:hAnsi="Arial" w:cs="Arial"/>
                    </w:rPr>
                  </w:pPr>
                </w:p>
                <w:p w:rsidR="00FD57EA" w:rsidRPr="000F7A04" w:rsidRDefault="00155CD9" w:rsidP="000F7A04">
                  <w:pPr>
                    <w:pStyle w:val="Default"/>
                    <w:spacing w:line="276" w:lineRule="auto"/>
                    <w:ind w:left="360"/>
                    <w:rPr>
                      <w:rFonts w:ascii="Arial" w:hAnsi="Arial" w:cs="Arial"/>
                    </w:rPr>
                  </w:pPr>
                  <w:hyperlink r:id="rId10" w:history="1">
                    <w:r w:rsidR="000F7A04" w:rsidRPr="000F7A04">
                      <w:rPr>
                        <w:rStyle w:val="Hyperlink"/>
                        <w:rFonts w:ascii="Arial" w:hAnsi="Arial" w:cs="Arial"/>
                      </w:rPr>
                      <w:t>http://eur-lex.europa.eu/legal-content/EN/TXT/?uri=uriserv:OJ.L_.2016.332.01.0003.01.ENG&amp;toc=OJ:L:2016:332:TOC</w:t>
                    </w:r>
                  </w:hyperlink>
                  <w:r w:rsidR="000F7A04" w:rsidRPr="000F7A04">
                    <w:rPr>
                      <w:rFonts w:ascii="Arial" w:hAnsi="Arial" w:cs="Arial"/>
                    </w:rPr>
                    <w:t xml:space="preserve">  </w:t>
                  </w:r>
                  <w:r w:rsidR="00FD57EA" w:rsidRPr="000F7A04">
                    <w:rPr>
                      <w:rFonts w:ascii="Arial" w:hAnsi="Arial" w:cs="Arial"/>
                    </w:rPr>
                    <w:t xml:space="preserve">  </w:t>
                  </w:r>
                </w:p>
                <w:p w:rsidR="000F7A04" w:rsidRPr="000F7A04" w:rsidRDefault="000F7A04" w:rsidP="000F7A04">
                  <w:pPr>
                    <w:pStyle w:val="Default"/>
                    <w:rPr>
                      <w:rFonts w:ascii="Arial" w:hAnsi="Arial" w:cs="Arial"/>
                    </w:rPr>
                  </w:pPr>
                </w:p>
                <w:p w:rsidR="000F7A04" w:rsidRPr="000F7A04" w:rsidRDefault="000F7A04" w:rsidP="000F7A04">
                  <w:pPr>
                    <w:pStyle w:val="Default"/>
                    <w:numPr>
                      <w:ilvl w:val="0"/>
                      <w:numId w:val="18"/>
                    </w:numPr>
                    <w:rPr>
                      <w:rFonts w:ascii="Arial" w:hAnsi="Arial" w:cs="Arial"/>
                    </w:rPr>
                  </w:pPr>
                  <w:r w:rsidRPr="000F7A04">
                    <w:rPr>
                      <w:rFonts w:ascii="Arial" w:hAnsi="Arial" w:cs="Arial"/>
                    </w:rPr>
                    <w:t xml:space="preserve">Copies of relevant Notices, EU Regulations, and UK legislation can be obtained from the Syria financial sanctions page on the GOV.UK website: </w:t>
                  </w:r>
                </w:p>
                <w:p w:rsidR="000F7A04" w:rsidRPr="000F7A04" w:rsidRDefault="000F7A04" w:rsidP="000F7A04">
                  <w:pPr>
                    <w:pStyle w:val="Default"/>
                    <w:ind w:left="360"/>
                    <w:rPr>
                      <w:rFonts w:ascii="Arial" w:hAnsi="Arial" w:cs="Arial"/>
                    </w:rPr>
                  </w:pPr>
                </w:p>
                <w:p w:rsidR="000F7A04" w:rsidRPr="000F7A04" w:rsidRDefault="00155CD9" w:rsidP="000F7A04">
                  <w:pPr>
                    <w:pStyle w:val="Default"/>
                    <w:spacing w:line="276" w:lineRule="auto"/>
                    <w:ind w:left="360"/>
                    <w:rPr>
                      <w:rFonts w:ascii="Arial" w:hAnsi="Arial" w:cs="Arial"/>
                    </w:rPr>
                  </w:pPr>
                  <w:hyperlink r:id="rId11" w:history="1">
                    <w:r w:rsidR="000F7A04" w:rsidRPr="000F7A04">
                      <w:rPr>
                        <w:rStyle w:val="Hyperlink"/>
                        <w:rFonts w:ascii="Arial" w:hAnsi="Arial" w:cs="Arial"/>
                      </w:rPr>
                      <w:t>https://www.gov.uk/government/collections/financial-sanctions-regime-specific-consolidated-lists-and-releases</w:t>
                    </w:r>
                  </w:hyperlink>
                  <w:r w:rsidR="000F7A04" w:rsidRPr="000F7A04">
                    <w:rPr>
                      <w:rFonts w:ascii="Arial" w:hAnsi="Arial" w:cs="Arial"/>
                    </w:rPr>
                    <w:t xml:space="preserve"> </w:t>
                  </w:r>
                </w:p>
                <w:p w:rsidR="000F7A04" w:rsidRPr="000F7A04" w:rsidRDefault="000F7A04" w:rsidP="00E70EB0">
                  <w:pPr>
                    <w:pStyle w:val="Default"/>
                    <w:spacing w:line="276" w:lineRule="auto"/>
                    <w:ind w:left="360"/>
                    <w:rPr>
                      <w:rFonts w:ascii="Arial" w:hAnsi="Arial" w:cs="Arial"/>
                    </w:rPr>
                  </w:pPr>
                  <w:r w:rsidRPr="000F7A04">
                    <w:rPr>
                      <w:rFonts w:ascii="Arial" w:hAnsi="Arial" w:cs="Arial"/>
                    </w:rPr>
                    <w:t xml:space="preserve"> </w:t>
                  </w:r>
                </w:p>
                <w:p w:rsidR="000F7A04" w:rsidRPr="000F7A04" w:rsidRDefault="000F7A04" w:rsidP="000F7A04">
                  <w:pPr>
                    <w:pStyle w:val="Default"/>
                    <w:numPr>
                      <w:ilvl w:val="0"/>
                      <w:numId w:val="18"/>
                    </w:numPr>
                    <w:rPr>
                      <w:rFonts w:ascii="Arial" w:hAnsi="Arial" w:cs="Arial"/>
                    </w:rPr>
                  </w:pPr>
                  <w:r w:rsidRPr="000F7A04">
                    <w:rPr>
                      <w:rFonts w:ascii="Arial" w:hAnsi="Arial" w:cs="Arial"/>
                    </w:rPr>
                    <w:t xml:space="preserve">Please note there </w:t>
                  </w:r>
                  <w:proofErr w:type="gramStart"/>
                  <w:r w:rsidRPr="000F7A04">
                    <w:rPr>
                      <w:rFonts w:ascii="Arial" w:hAnsi="Arial" w:cs="Arial"/>
                    </w:rPr>
                    <w:t>are also import</w:t>
                  </w:r>
                  <w:proofErr w:type="gramEnd"/>
                  <w:r w:rsidRPr="000F7A04">
                    <w:rPr>
                      <w:rFonts w:ascii="Arial" w:hAnsi="Arial" w:cs="Arial"/>
                    </w:rPr>
                    <w:t xml:space="preserve"> and export restrictions on Syria. Further guidance on export and trade sanctions is available from the GOV.UK website: </w:t>
                  </w:r>
                </w:p>
                <w:p w:rsidR="000F7A04" w:rsidRPr="000F7A04" w:rsidRDefault="000F7A04" w:rsidP="000F7A04">
                  <w:pPr>
                    <w:pStyle w:val="Default"/>
                    <w:rPr>
                      <w:rFonts w:ascii="Arial" w:hAnsi="Arial" w:cs="Arial"/>
                    </w:rPr>
                  </w:pPr>
                </w:p>
                <w:p w:rsidR="00FD57EA" w:rsidRPr="000F7A04" w:rsidRDefault="00155CD9" w:rsidP="000F7A04">
                  <w:pPr>
                    <w:pStyle w:val="Default"/>
                    <w:spacing w:line="276" w:lineRule="auto"/>
                    <w:ind w:left="360"/>
                    <w:rPr>
                      <w:rFonts w:ascii="Arial" w:hAnsi="Arial" w:cs="Arial"/>
                    </w:rPr>
                  </w:pPr>
                  <w:hyperlink r:id="rId12" w:history="1">
                    <w:r w:rsidR="000F7A04" w:rsidRPr="000F7A04">
                      <w:rPr>
                        <w:rStyle w:val="Hyperlink"/>
                        <w:rFonts w:ascii="Arial" w:hAnsi="Arial" w:cs="Arial"/>
                      </w:rPr>
                      <w:t>https://www.gov.uk/sanctions-embargoes-and-restrictions</w:t>
                    </w:r>
                  </w:hyperlink>
                  <w:r w:rsidR="000F7A04" w:rsidRPr="000F7A04">
                    <w:rPr>
                      <w:rFonts w:ascii="Arial" w:hAnsi="Arial" w:cs="Arial"/>
                    </w:rPr>
                    <w:t xml:space="preserve">.  </w:t>
                  </w:r>
                </w:p>
                <w:p w:rsidR="000F7A04" w:rsidRPr="000F7A04" w:rsidRDefault="000F7A04" w:rsidP="000F7A04">
                  <w:pPr>
                    <w:pStyle w:val="Default"/>
                    <w:rPr>
                      <w:rFonts w:ascii="Arial" w:hAnsi="Arial" w:cs="Arial"/>
                    </w:rPr>
                  </w:pPr>
                </w:p>
                <w:p w:rsidR="000F7A04" w:rsidRPr="000F7A04" w:rsidRDefault="000F7A04" w:rsidP="000F7A04">
                  <w:pPr>
                    <w:pStyle w:val="Default"/>
                    <w:numPr>
                      <w:ilvl w:val="0"/>
                      <w:numId w:val="18"/>
                    </w:numPr>
                    <w:rPr>
                      <w:rFonts w:ascii="Arial" w:hAnsi="Arial" w:cs="Arial"/>
                    </w:rPr>
                  </w:pPr>
                  <w:r w:rsidRPr="000F7A04">
                    <w:rPr>
                      <w:rFonts w:ascii="Arial" w:hAnsi="Arial" w:cs="Arial"/>
                    </w:rPr>
                    <w:t xml:space="preserve">For more information please see our guide to financial sanctions: </w:t>
                  </w:r>
                </w:p>
                <w:p w:rsidR="00FD57EA" w:rsidRPr="000F7A04" w:rsidRDefault="000F7A04" w:rsidP="000F7A04">
                  <w:pPr>
                    <w:pStyle w:val="Default"/>
                    <w:spacing w:line="276" w:lineRule="auto"/>
                    <w:rPr>
                      <w:rFonts w:ascii="Arial" w:hAnsi="Arial" w:cs="Arial"/>
                    </w:rPr>
                  </w:pPr>
                  <w:r w:rsidRPr="000F7A04">
                    <w:rPr>
                      <w:rFonts w:ascii="Arial" w:hAnsi="Arial" w:cs="Arial"/>
                    </w:rPr>
                    <w:t xml:space="preserve">      </w:t>
                  </w:r>
                  <w:hyperlink r:id="rId13" w:history="1">
                    <w:r w:rsidRPr="000F7A04">
                      <w:rPr>
                        <w:rStyle w:val="Hyperlink"/>
                        <w:rFonts w:ascii="Arial" w:hAnsi="Arial" w:cs="Arial"/>
                      </w:rPr>
                      <w:t>https://www.gov.uk/government/publications/financial-sanctions-faqs</w:t>
                    </w:r>
                  </w:hyperlink>
                  <w:r w:rsidRPr="000F7A04">
                    <w:rPr>
                      <w:rFonts w:ascii="Arial" w:hAnsi="Arial" w:cs="Arial"/>
                    </w:rPr>
                    <w:t xml:space="preserve">  </w:t>
                  </w:r>
                </w:p>
                <w:p w:rsidR="00A42DA5" w:rsidRPr="00A90EC2" w:rsidRDefault="00A42DA5" w:rsidP="00A90EC2">
                  <w:pPr>
                    <w:pStyle w:val="Default"/>
                    <w:pageBreakBefore/>
                    <w:spacing w:line="276" w:lineRule="auto"/>
                    <w:rPr>
                      <w:rFonts w:cstheme="minorBidi"/>
                      <w:color w:val="auto"/>
                      <w:sz w:val="22"/>
                      <w:szCs w:val="22"/>
                    </w:rPr>
                  </w:pPr>
                </w:p>
                <w:p w:rsidR="00A42DA5" w:rsidRDefault="00A42DA5" w:rsidP="00F577B8">
                  <w:pPr>
                    <w:pStyle w:val="Default"/>
                    <w:jc w:val="both"/>
                    <w:rPr>
                      <w:rFonts w:ascii="Arial" w:hAnsi="Arial" w:cs="Arial"/>
                      <w:b/>
                      <w:bCs/>
                      <w:color w:val="auto"/>
                    </w:rPr>
                  </w:pPr>
                </w:p>
                <w:p w:rsidR="00062AAF" w:rsidRPr="00882079" w:rsidRDefault="00062AAF" w:rsidP="00F577B8">
                  <w:pPr>
                    <w:pStyle w:val="Default"/>
                    <w:jc w:val="both"/>
                    <w:rPr>
                      <w:rFonts w:ascii="Arial" w:hAnsi="Arial" w:cs="Arial"/>
                      <w:b/>
                      <w:bCs/>
                      <w:color w:val="auto"/>
                    </w:rPr>
                  </w:pPr>
                  <w:r w:rsidRPr="00882079">
                    <w:rPr>
                      <w:rFonts w:ascii="Arial" w:hAnsi="Arial" w:cs="Arial"/>
                      <w:b/>
                      <w:bCs/>
                      <w:color w:val="auto"/>
                    </w:rPr>
                    <w:t>Enquiries</w:t>
                  </w:r>
                </w:p>
                <w:p w:rsidR="00FD57EA" w:rsidRDefault="00FD57EA" w:rsidP="00FD57EA">
                  <w:pPr>
                    <w:pStyle w:val="Default"/>
                  </w:pPr>
                </w:p>
                <w:p w:rsidR="00FD57EA" w:rsidRPr="006F56F6" w:rsidRDefault="00FD57EA" w:rsidP="006F56F6">
                  <w:pPr>
                    <w:pStyle w:val="Default"/>
                    <w:numPr>
                      <w:ilvl w:val="0"/>
                      <w:numId w:val="18"/>
                    </w:numPr>
                    <w:spacing w:line="276" w:lineRule="auto"/>
                    <w:rPr>
                      <w:rFonts w:ascii="Arial" w:hAnsi="Arial" w:cs="Arial"/>
                    </w:rPr>
                  </w:pPr>
                  <w:r w:rsidRPr="006F56F6">
                    <w:rPr>
                      <w:rFonts w:ascii="Arial" w:hAnsi="Arial" w:cs="Arial"/>
                    </w:rPr>
                    <w:t xml:space="preserve">Non-media enquiries, reports and </w:t>
                  </w:r>
                  <w:proofErr w:type="spellStart"/>
                  <w:r w:rsidRPr="006F56F6">
                    <w:rPr>
                      <w:rFonts w:ascii="Arial" w:hAnsi="Arial" w:cs="Arial"/>
                    </w:rPr>
                    <w:t>licence</w:t>
                  </w:r>
                  <w:proofErr w:type="spellEnd"/>
                  <w:r w:rsidRPr="006F56F6">
                    <w:rPr>
                      <w:rFonts w:ascii="Arial" w:hAnsi="Arial" w:cs="Arial"/>
                    </w:rPr>
                    <w:t xml:space="preserve"> applications should be addressed to: </w:t>
                  </w:r>
                </w:p>
                <w:p w:rsidR="00FD57EA" w:rsidRPr="006F56F6" w:rsidRDefault="00FD57EA" w:rsidP="006F56F6">
                  <w:pPr>
                    <w:pStyle w:val="Default"/>
                    <w:spacing w:line="276" w:lineRule="auto"/>
                    <w:ind w:left="405"/>
                    <w:rPr>
                      <w:rFonts w:ascii="Arial" w:hAnsi="Arial" w:cs="Arial"/>
                    </w:rPr>
                  </w:pPr>
                </w:p>
                <w:p w:rsidR="000F7A04" w:rsidRDefault="000F7A04" w:rsidP="000F7A04">
                  <w:pPr>
                    <w:pStyle w:val="Default"/>
                    <w:spacing w:line="276" w:lineRule="auto"/>
                    <w:ind w:left="360"/>
                    <w:rPr>
                      <w:rFonts w:ascii="Arial" w:hAnsi="Arial" w:cs="Arial"/>
                    </w:rPr>
                  </w:pPr>
                  <w:r>
                    <w:rPr>
                      <w:rFonts w:ascii="Arial" w:hAnsi="Arial" w:cs="Arial"/>
                    </w:rPr>
                    <w:t>Her Excellency, the Governor</w:t>
                  </w:r>
                </w:p>
                <w:p w:rsidR="00FD57EA" w:rsidRPr="006F56F6" w:rsidRDefault="000F7A04" w:rsidP="000F7A04">
                  <w:pPr>
                    <w:pStyle w:val="Default"/>
                    <w:spacing w:line="276" w:lineRule="auto"/>
                    <w:ind w:left="360"/>
                    <w:rPr>
                      <w:rFonts w:ascii="Arial" w:hAnsi="Arial" w:cs="Arial"/>
                    </w:rPr>
                  </w:pPr>
                  <w:r>
                    <w:rPr>
                      <w:rFonts w:ascii="Arial" w:hAnsi="Arial" w:cs="Arial"/>
                    </w:rPr>
                    <w:t>The Governor’s Office</w:t>
                  </w:r>
                  <w:r w:rsidR="00FD57EA" w:rsidRPr="006F56F6">
                    <w:rPr>
                      <w:rFonts w:ascii="Arial" w:hAnsi="Arial" w:cs="Arial"/>
                    </w:rPr>
                    <w:t xml:space="preserve"> </w:t>
                  </w:r>
                </w:p>
                <w:p w:rsidR="00FD57EA" w:rsidRPr="006F56F6" w:rsidRDefault="006F56F6" w:rsidP="006F56F6">
                  <w:pPr>
                    <w:pStyle w:val="Default"/>
                    <w:spacing w:line="276" w:lineRule="auto"/>
                    <w:rPr>
                      <w:rFonts w:ascii="Arial" w:hAnsi="Arial" w:cs="Arial"/>
                    </w:rPr>
                  </w:pPr>
                  <w:r w:rsidRPr="006F56F6">
                    <w:rPr>
                      <w:rFonts w:ascii="Arial" w:hAnsi="Arial" w:cs="Arial"/>
                    </w:rPr>
                    <w:t xml:space="preserve">      </w:t>
                  </w:r>
                  <w:r w:rsidR="000F7A04">
                    <w:rPr>
                      <w:rFonts w:ascii="Arial" w:hAnsi="Arial" w:cs="Arial"/>
                    </w:rPr>
                    <w:t xml:space="preserve">#8 </w:t>
                  </w:r>
                  <w:proofErr w:type="spellStart"/>
                  <w:r w:rsidR="000F7A04">
                    <w:rPr>
                      <w:rFonts w:ascii="Arial" w:hAnsi="Arial" w:cs="Arial"/>
                    </w:rPr>
                    <w:t>Farara</w:t>
                  </w:r>
                  <w:proofErr w:type="spellEnd"/>
                  <w:r w:rsidR="000F7A04">
                    <w:rPr>
                      <w:rFonts w:ascii="Arial" w:hAnsi="Arial" w:cs="Arial"/>
                    </w:rPr>
                    <w:t xml:space="preserve"> Plaza</w:t>
                  </w:r>
                  <w:r w:rsidR="00FD57EA" w:rsidRPr="006F56F6">
                    <w:rPr>
                      <w:rFonts w:ascii="Arial" w:hAnsi="Arial" w:cs="Arial"/>
                    </w:rPr>
                    <w:t xml:space="preserve"> </w:t>
                  </w:r>
                </w:p>
                <w:p w:rsidR="00FD57EA" w:rsidRPr="006F56F6" w:rsidRDefault="00FD57EA" w:rsidP="006F56F6">
                  <w:pPr>
                    <w:pStyle w:val="Default"/>
                    <w:spacing w:line="276" w:lineRule="auto"/>
                    <w:rPr>
                      <w:rFonts w:ascii="Arial" w:hAnsi="Arial" w:cs="Arial"/>
                    </w:rPr>
                  </w:pPr>
                  <w:r w:rsidRPr="006F56F6">
                    <w:rPr>
                      <w:rFonts w:ascii="Arial" w:hAnsi="Arial" w:cs="Arial"/>
                    </w:rPr>
                    <w:t xml:space="preserve">      </w:t>
                  </w:r>
                  <w:proofErr w:type="spellStart"/>
                  <w:r w:rsidR="000F7A04">
                    <w:rPr>
                      <w:rFonts w:ascii="Arial" w:hAnsi="Arial" w:cs="Arial"/>
                    </w:rPr>
                    <w:t>Brades</w:t>
                  </w:r>
                  <w:proofErr w:type="spellEnd"/>
                  <w:r w:rsidR="000F7A04">
                    <w:rPr>
                      <w:rFonts w:ascii="Arial" w:hAnsi="Arial" w:cs="Arial"/>
                    </w:rPr>
                    <w:t>, MSR1110</w:t>
                  </w:r>
                </w:p>
                <w:p w:rsidR="00FD57EA" w:rsidRPr="006F56F6" w:rsidRDefault="006F56F6" w:rsidP="006F56F6">
                  <w:pPr>
                    <w:pStyle w:val="Default"/>
                    <w:spacing w:line="276" w:lineRule="auto"/>
                    <w:rPr>
                      <w:rFonts w:ascii="Arial" w:hAnsi="Arial" w:cs="Arial"/>
                    </w:rPr>
                  </w:pPr>
                  <w:r w:rsidRPr="006F56F6">
                    <w:rPr>
                      <w:rFonts w:ascii="Arial" w:hAnsi="Arial" w:cs="Arial"/>
                    </w:rPr>
                    <w:t xml:space="preserve">      </w:t>
                  </w:r>
                  <w:r w:rsidR="000F7A04">
                    <w:rPr>
                      <w:rFonts w:ascii="Arial" w:hAnsi="Arial" w:cs="Arial"/>
                    </w:rPr>
                    <w:t xml:space="preserve">Montserrat </w:t>
                  </w:r>
                </w:p>
                <w:p w:rsidR="00FD57EA" w:rsidRPr="006F56F6" w:rsidRDefault="000F7A04" w:rsidP="006F56F6">
                  <w:pPr>
                    <w:pStyle w:val="Default"/>
                    <w:spacing w:line="276" w:lineRule="auto"/>
                    <w:rPr>
                      <w:rFonts w:ascii="Arial" w:hAnsi="Arial" w:cs="Arial"/>
                    </w:rPr>
                  </w:pPr>
                  <w:r>
                    <w:rPr>
                      <w:rFonts w:ascii="Arial" w:hAnsi="Arial" w:cs="Arial"/>
                    </w:rPr>
                    <w:t xml:space="preserve">      Email: </w:t>
                  </w:r>
                  <w:hyperlink r:id="rId14" w:history="1">
                    <w:r w:rsidRPr="002351AB">
                      <w:rPr>
                        <w:rStyle w:val="Hyperlink"/>
                        <w:rFonts w:ascii="Arial" w:hAnsi="Arial" w:cs="Arial"/>
                      </w:rPr>
                      <w:t>Tony.Bates@fco.gsi.gov.uk</w:t>
                    </w:r>
                  </w:hyperlink>
                  <w:r>
                    <w:rPr>
                      <w:rFonts w:ascii="Arial" w:hAnsi="Arial" w:cs="Arial"/>
                    </w:rPr>
                    <w:t xml:space="preserve"> </w:t>
                  </w:r>
                </w:p>
                <w:p w:rsidR="00FD57EA" w:rsidRPr="006F56F6" w:rsidRDefault="00FD57EA" w:rsidP="006F56F6">
                  <w:pPr>
                    <w:pStyle w:val="Default"/>
                    <w:spacing w:line="276" w:lineRule="auto"/>
                    <w:rPr>
                      <w:rFonts w:ascii="Arial" w:hAnsi="Arial" w:cs="Arial"/>
                    </w:rPr>
                  </w:pPr>
                </w:p>
                <w:p w:rsidR="00E70EB0" w:rsidRDefault="00E70EB0" w:rsidP="00A42DA5">
                  <w:pPr>
                    <w:pStyle w:val="Default"/>
                    <w:jc w:val="center"/>
                    <w:rPr>
                      <w:rFonts w:ascii="Arial" w:hAnsi="Arial" w:cs="Arial"/>
                      <w:color w:val="auto"/>
                    </w:rPr>
                  </w:pPr>
                </w:p>
                <w:p w:rsidR="006F56F6" w:rsidRPr="00A42DA5" w:rsidRDefault="00C7227D" w:rsidP="00A42DA5">
                  <w:pPr>
                    <w:pStyle w:val="Default"/>
                    <w:jc w:val="center"/>
                    <w:rPr>
                      <w:rFonts w:ascii="Arial" w:hAnsi="Arial" w:cs="Arial"/>
                      <w:color w:val="auto"/>
                    </w:rPr>
                  </w:pPr>
                  <w:r>
                    <w:rPr>
                      <w:rFonts w:ascii="Arial" w:hAnsi="Arial" w:cs="Arial"/>
                      <w:color w:val="auto"/>
                    </w:rPr>
                    <w:t>Financial Services Commission</w:t>
                  </w:r>
                </w:p>
                <w:p w:rsidR="00A42DA5" w:rsidRPr="00A42DA5" w:rsidRDefault="00C7227D" w:rsidP="00E70EB0">
                  <w:pPr>
                    <w:pStyle w:val="Default"/>
                    <w:jc w:val="center"/>
                    <w:rPr>
                      <w:rFonts w:ascii="Arial" w:hAnsi="Arial" w:cs="Arial"/>
                      <w:color w:val="auto"/>
                    </w:rPr>
                  </w:pPr>
                  <w:r>
                    <w:rPr>
                      <w:rFonts w:ascii="Arial" w:hAnsi="Arial" w:cs="Arial"/>
                      <w:color w:val="auto"/>
                    </w:rPr>
                    <w:t>Montserrat</w:t>
                  </w:r>
                </w:p>
                <w:p w:rsidR="00A42DA5" w:rsidRPr="00A42DA5" w:rsidRDefault="00A42DA5" w:rsidP="00A42DA5">
                  <w:pPr>
                    <w:pStyle w:val="Default"/>
                    <w:jc w:val="center"/>
                    <w:rPr>
                      <w:rFonts w:ascii="Arial" w:hAnsi="Arial" w:cs="Arial"/>
                      <w:color w:val="auto"/>
                    </w:rPr>
                  </w:pPr>
                </w:p>
                <w:p w:rsidR="00A42DA5" w:rsidRPr="00882079" w:rsidRDefault="006F56F6" w:rsidP="00A42DA5">
                  <w:pPr>
                    <w:pStyle w:val="ListParagraph"/>
                    <w:spacing w:after="0" w:line="240" w:lineRule="auto"/>
                    <w:ind w:right="-90"/>
                    <w:jc w:val="center"/>
                    <w:rPr>
                      <w:rFonts w:ascii="Arial" w:hAnsi="Arial" w:cs="Arial"/>
                      <w:b/>
                      <w:sz w:val="24"/>
                      <w:szCs w:val="24"/>
                    </w:rPr>
                  </w:pPr>
                  <w:r w:rsidRPr="00A42DA5">
                    <w:rPr>
                      <w:rFonts w:ascii="Arial" w:hAnsi="Arial" w:cs="Arial"/>
                      <w:sz w:val="24"/>
                      <w:szCs w:val="24"/>
                    </w:rPr>
                    <w:t>09/12/2016</w:t>
                  </w:r>
                </w:p>
              </w:tc>
            </w:tr>
            <w:tr w:rsidR="00F577B8" w:rsidRPr="009C55F9" w:rsidTr="00E70EB0">
              <w:trPr>
                <w:trHeight w:val="540"/>
              </w:trPr>
              <w:tc>
                <w:tcPr>
                  <w:tcW w:w="9947" w:type="dxa"/>
                </w:tcPr>
                <w:p w:rsidR="00F577B8" w:rsidRPr="00882079" w:rsidRDefault="00F577B8" w:rsidP="00B66EE9">
                  <w:pPr>
                    <w:pStyle w:val="Default"/>
                    <w:spacing w:line="480" w:lineRule="auto"/>
                    <w:jc w:val="center"/>
                    <w:rPr>
                      <w:rFonts w:ascii="Arial" w:hAnsi="Arial" w:cs="Arial"/>
                    </w:rPr>
                  </w:pPr>
                </w:p>
              </w:tc>
            </w:tr>
          </w:tbl>
          <w:p w:rsidR="00A3089A" w:rsidRPr="009C55F9" w:rsidRDefault="00A3089A" w:rsidP="00AC4F7C">
            <w:pPr>
              <w:spacing w:after="0" w:line="240" w:lineRule="auto"/>
              <w:ind w:right="-90"/>
              <w:jc w:val="both"/>
              <w:rPr>
                <w:rFonts w:ascii="Arial" w:hAnsi="Arial" w:cs="Arial"/>
                <w:sz w:val="24"/>
                <w:szCs w:val="24"/>
              </w:rPr>
            </w:pPr>
          </w:p>
        </w:tc>
      </w:tr>
    </w:tbl>
    <w:p w:rsidR="0051414A" w:rsidRPr="003A49D0" w:rsidRDefault="0051414A" w:rsidP="003A49D0">
      <w:pPr>
        <w:tabs>
          <w:tab w:val="left" w:pos="4019"/>
        </w:tabs>
        <w:rPr>
          <w:rFonts w:ascii="Arial" w:hAnsi="Arial" w:cs="Arial"/>
          <w:sz w:val="24"/>
          <w:szCs w:val="24"/>
        </w:rPr>
      </w:pPr>
    </w:p>
    <w:sectPr w:rsidR="0051414A" w:rsidRPr="003A49D0" w:rsidSect="003C68D5">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A04" w:rsidRDefault="000F7A04" w:rsidP="00A214FB">
      <w:pPr>
        <w:spacing w:after="0" w:line="240" w:lineRule="auto"/>
      </w:pPr>
      <w:r>
        <w:separator/>
      </w:r>
    </w:p>
  </w:endnote>
  <w:endnote w:type="continuationSeparator" w:id="1">
    <w:p w:rsidR="000F7A04" w:rsidRDefault="000F7A04"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A04" w:rsidRDefault="000F7A04" w:rsidP="00A214FB">
      <w:pPr>
        <w:spacing w:after="0" w:line="240" w:lineRule="auto"/>
      </w:pPr>
      <w:r>
        <w:separator/>
      </w:r>
    </w:p>
  </w:footnote>
  <w:footnote w:type="continuationSeparator" w:id="1">
    <w:p w:rsidR="000F7A04" w:rsidRDefault="000F7A04"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75808"/>
    <w:multiLevelType w:val="hybridMultilevel"/>
    <w:tmpl w:val="00BA2B2C"/>
    <w:lvl w:ilvl="0" w:tplc="61D48A6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CB81E98"/>
    <w:multiLevelType w:val="hybridMultilevel"/>
    <w:tmpl w:val="12C6B24A"/>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10E00D49"/>
    <w:multiLevelType w:val="hybridMultilevel"/>
    <w:tmpl w:val="18168D18"/>
    <w:lvl w:ilvl="0" w:tplc="C91EFAEE">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1DC7180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26850880"/>
    <w:multiLevelType w:val="hybridMultilevel"/>
    <w:tmpl w:val="A4DC09B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2B2C7E81"/>
    <w:multiLevelType w:val="hybridMultilevel"/>
    <w:tmpl w:val="FBC67BF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6">
    <w:nsid w:val="2D8914FD"/>
    <w:multiLevelType w:val="hybridMultilevel"/>
    <w:tmpl w:val="8A323D4E"/>
    <w:lvl w:ilvl="0" w:tplc="3B360B66">
      <w:start w:val="17"/>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7">
    <w:nsid w:val="3273264F"/>
    <w:multiLevelType w:val="hybridMultilevel"/>
    <w:tmpl w:val="ED36CA1E"/>
    <w:lvl w:ilvl="0" w:tplc="4256682C">
      <w:start w:val="1"/>
      <w:numFmt w:val="decimal"/>
      <w:lvlText w:val="%1."/>
      <w:lvlJc w:val="left"/>
      <w:pPr>
        <w:ind w:left="990" w:hanging="360"/>
      </w:pPr>
      <w:rPr>
        <w:rFonts w:hint="default"/>
      </w:rPr>
    </w:lvl>
    <w:lvl w:ilvl="1" w:tplc="24090019" w:tentative="1">
      <w:start w:val="1"/>
      <w:numFmt w:val="lowerLetter"/>
      <w:lvlText w:val="%2."/>
      <w:lvlJc w:val="left"/>
      <w:pPr>
        <w:ind w:left="1710" w:hanging="360"/>
      </w:pPr>
    </w:lvl>
    <w:lvl w:ilvl="2" w:tplc="2409001B" w:tentative="1">
      <w:start w:val="1"/>
      <w:numFmt w:val="lowerRoman"/>
      <w:lvlText w:val="%3."/>
      <w:lvlJc w:val="right"/>
      <w:pPr>
        <w:ind w:left="2430" w:hanging="180"/>
      </w:pPr>
    </w:lvl>
    <w:lvl w:ilvl="3" w:tplc="2409000F" w:tentative="1">
      <w:start w:val="1"/>
      <w:numFmt w:val="decimal"/>
      <w:lvlText w:val="%4."/>
      <w:lvlJc w:val="left"/>
      <w:pPr>
        <w:ind w:left="3150" w:hanging="360"/>
      </w:pPr>
    </w:lvl>
    <w:lvl w:ilvl="4" w:tplc="24090019" w:tentative="1">
      <w:start w:val="1"/>
      <w:numFmt w:val="lowerLetter"/>
      <w:lvlText w:val="%5."/>
      <w:lvlJc w:val="left"/>
      <w:pPr>
        <w:ind w:left="3870" w:hanging="360"/>
      </w:pPr>
    </w:lvl>
    <w:lvl w:ilvl="5" w:tplc="2409001B" w:tentative="1">
      <w:start w:val="1"/>
      <w:numFmt w:val="lowerRoman"/>
      <w:lvlText w:val="%6."/>
      <w:lvlJc w:val="right"/>
      <w:pPr>
        <w:ind w:left="4590" w:hanging="180"/>
      </w:pPr>
    </w:lvl>
    <w:lvl w:ilvl="6" w:tplc="2409000F" w:tentative="1">
      <w:start w:val="1"/>
      <w:numFmt w:val="decimal"/>
      <w:lvlText w:val="%7."/>
      <w:lvlJc w:val="left"/>
      <w:pPr>
        <w:ind w:left="5310" w:hanging="360"/>
      </w:pPr>
    </w:lvl>
    <w:lvl w:ilvl="7" w:tplc="24090019" w:tentative="1">
      <w:start w:val="1"/>
      <w:numFmt w:val="lowerLetter"/>
      <w:lvlText w:val="%8."/>
      <w:lvlJc w:val="left"/>
      <w:pPr>
        <w:ind w:left="6030" w:hanging="360"/>
      </w:pPr>
    </w:lvl>
    <w:lvl w:ilvl="8" w:tplc="2409001B" w:tentative="1">
      <w:start w:val="1"/>
      <w:numFmt w:val="lowerRoman"/>
      <w:lvlText w:val="%9."/>
      <w:lvlJc w:val="right"/>
      <w:pPr>
        <w:ind w:left="6750" w:hanging="180"/>
      </w:pPr>
    </w:lvl>
  </w:abstractNum>
  <w:abstractNum w:abstractNumId="8">
    <w:nsid w:val="32EC3676"/>
    <w:multiLevelType w:val="hybridMultilevel"/>
    <w:tmpl w:val="E5BCFE14"/>
    <w:lvl w:ilvl="0" w:tplc="05CA58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E5BCE"/>
    <w:multiLevelType w:val="hybridMultilevel"/>
    <w:tmpl w:val="C3D0A41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0">
    <w:nsid w:val="35751894"/>
    <w:multiLevelType w:val="hybridMultilevel"/>
    <w:tmpl w:val="2878C7BE"/>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3801311D"/>
    <w:multiLevelType w:val="hybridMultilevel"/>
    <w:tmpl w:val="5502826A"/>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2">
    <w:nsid w:val="39361A89"/>
    <w:multiLevelType w:val="hybridMultilevel"/>
    <w:tmpl w:val="AA947612"/>
    <w:lvl w:ilvl="0" w:tplc="851ACBFA">
      <w:numFmt w:val="bullet"/>
      <w:lvlText w:val=""/>
      <w:lvlJc w:val="left"/>
      <w:pPr>
        <w:ind w:left="720" w:hanging="360"/>
      </w:pPr>
      <w:rPr>
        <w:rFonts w:ascii="Arial" w:eastAsiaTheme="minorHAnsi" w:hAnsi="Arial" w:cs="Aria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3">
    <w:nsid w:val="3AED6191"/>
    <w:multiLevelType w:val="hybridMultilevel"/>
    <w:tmpl w:val="C9A8BD5E"/>
    <w:lvl w:ilvl="0" w:tplc="24090001">
      <w:start w:val="1"/>
      <w:numFmt w:val="bullet"/>
      <w:lvlText w:val=""/>
      <w:lvlJc w:val="left"/>
      <w:pPr>
        <w:ind w:left="1080" w:hanging="360"/>
      </w:pPr>
      <w:rPr>
        <w:rFonts w:ascii="Symbol" w:hAnsi="Symbol"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4">
    <w:nsid w:val="3D83048D"/>
    <w:multiLevelType w:val="hybridMultilevel"/>
    <w:tmpl w:val="669CF3FC"/>
    <w:lvl w:ilvl="0" w:tplc="FCCCDCC8">
      <w:start w:val="1"/>
      <w:numFmt w:val="decimal"/>
      <w:lvlText w:val="%1."/>
      <w:lvlJc w:val="left"/>
      <w:pPr>
        <w:ind w:left="126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5">
    <w:nsid w:val="43846842"/>
    <w:multiLevelType w:val="hybridMultilevel"/>
    <w:tmpl w:val="9C8ADAF0"/>
    <w:lvl w:ilvl="0" w:tplc="303E3AF0">
      <w:start w:val="1"/>
      <w:numFmt w:val="decimal"/>
      <w:lvlText w:val="%1."/>
      <w:lvlJc w:val="left"/>
      <w:pPr>
        <w:ind w:left="360" w:hanging="360"/>
      </w:pPr>
      <w:rPr>
        <w:rFonts w:hint="default"/>
      </w:rPr>
    </w:lvl>
    <w:lvl w:ilvl="1" w:tplc="24090019" w:tentative="1">
      <w:start w:val="1"/>
      <w:numFmt w:val="lowerLetter"/>
      <w:lvlText w:val="%2."/>
      <w:lvlJc w:val="left"/>
      <w:pPr>
        <w:ind w:left="1125" w:hanging="360"/>
      </w:pPr>
    </w:lvl>
    <w:lvl w:ilvl="2" w:tplc="2409001B" w:tentative="1">
      <w:start w:val="1"/>
      <w:numFmt w:val="lowerRoman"/>
      <w:lvlText w:val="%3."/>
      <w:lvlJc w:val="right"/>
      <w:pPr>
        <w:ind w:left="1845" w:hanging="180"/>
      </w:pPr>
    </w:lvl>
    <w:lvl w:ilvl="3" w:tplc="2409000F" w:tentative="1">
      <w:start w:val="1"/>
      <w:numFmt w:val="decimal"/>
      <w:lvlText w:val="%4."/>
      <w:lvlJc w:val="left"/>
      <w:pPr>
        <w:ind w:left="2565" w:hanging="360"/>
      </w:pPr>
    </w:lvl>
    <w:lvl w:ilvl="4" w:tplc="24090019" w:tentative="1">
      <w:start w:val="1"/>
      <w:numFmt w:val="lowerLetter"/>
      <w:lvlText w:val="%5."/>
      <w:lvlJc w:val="left"/>
      <w:pPr>
        <w:ind w:left="3285" w:hanging="360"/>
      </w:pPr>
    </w:lvl>
    <w:lvl w:ilvl="5" w:tplc="2409001B" w:tentative="1">
      <w:start w:val="1"/>
      <w:numFmt w:val="lowerRoman"/>
      <w:lvlText w:val="%6."/>
      <w:lvlJc w:val="right"/>
      <w:pPr>
        <w:ind w:left="4005" w:hanging="180"/>
      </w:pPr>
    </w:lvl>
    <w:lvl w:ilvl="6" w:tplc="2409000F" w:tentative="1">
      <w:start w:val="1"/>
      <w:numFmt w:val="decimal"/>
      <w:lvlText w:val="%7."/>
      <w:lvlJc w:val="left"/>
      <w:pPr>
        <w:ind w:left="4725" w:hanging="360"/>
      </w:pPr>
    </w:lvl>
    <w:lvl w:ilvl="7" w:tplc="24090019" w:tentative="1">
      <w:start w:val="1"/>
      <w:numFmt w:val="lowerLetter"/>
      <w:lvlText w:val="%8."/>
      <w:lvlJc w:val="left"/>
      <w:pPr>
        <w:ind w:left="5445" w:hanging="360"/>
      </w:pPr>
    </w:lvl>
    <w:lvl w:ilvl="8" w:tplc="2409001B" w:tentative="1">
      <w:start w:val="1"/>
      <w:numFmt w:val="lowerRoman"/>
      <w:lvlText w:val="%9."/>
      <w:lvlJc w:val="right"/>
      <w:pPr>
        <w:ind w:left="6165" w:hanging="180"/>
      </w:pPr>
    </w:lvl>
  </w:abstractNum>
  <w:abstractNum w:abstractNumId="16">
    <w:nsid w:val="44117BEC"/>
    <w:multiLevelType w:val="hybridMultilevel"/>
    <w:tmpl w:val="E4C86684"/>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7">
    <w:nsid w:val="5AD314C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5F5F0531"/>
    <w:multiLevelType w:val="hybridMultilevel"/>
    <w:tmpl w:val="7ED2E1EE"/>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6E753DFD"/>
    <w:multiLevelType w:val="hybridMultilevel"/>
    <w:tmpl w:val="D47C41CA"/>
    <w:lvl w:ilvl="0" w:tplc="2409000F">
      <w:start w:val="8"/>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72D40F3A"/>
    <w:multiLevelType w:val="hybridMultilevel"/>
    <w:tmpl w:val="A45E3F74"/>
    <w:lvl w:ilvl="0" w:tplc="2409000F">
      <w:start w:val="1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74F93864"/>
    <w:multiLevelType w:val="hybridMultilevel"/>
    <w:tmpl w:val="49080ACC"/>
    <w:lvl w:ilvl="0" w:tplc="2409001B">
      <w:start w:val="1"/>
      <w:numFmt w:val="lowerRoman"/>
      <w:lvlText w:val="%1."/>
      <w:lvlJc w:val="right"/>
      <w:pPr>
        <w:ind w:left="1350" w:hanging="360"/>
      </w:pPr>
    </w:lvl>
    <w:lvl w:ilvl="1" w:tplc="24090019" w:tentative="1">
      <w:start w:val="1"/>
      <w:numFmt w:val="lowerLetter"/>
      <w:lvlText w:val="%2."/>
      <w:lvlJc w:val="left"/>
      <w:pPr>
        <w:ind w:left="2294" w:hanging="360"/>
      </w:pPr>
    </w:lvl>
    <w:lvl w:ilvl="2" w:tplc="2409001B" w:tentative="1">
      <w:start w:val="1"/>
      <w:numFmt w:val="lowerRoman"/>
      <w:lvlText w:val="%3."/>
      <w:lvlJc w:val="right"/>
      <w:pPr>
        <w:ind w:left="3014" w:hanging="180"/>
      </w:pPr>
    </w:lvl>
    <w:lvl w:ilvl="3" w:tplc="2409000F" w:tentative="1">
      <w:start w:val="1"/>
      <w:numFmt w:val="decimal"/>
      <w:lvlText w:val="%4."/>
      <w:lvlJc w:val="left"/>
      <w:pPr>
        <w:ind w:left="3734" w:hanging="360"/>
      </w:pPr>
    </w:lvl>
    <w:lvl w:ilvl="4" w:tplc="24090019" w:tentative="1">
      <w:start w:val="1"/>
      <w:numFmt w:val="lowerLetter"/>
      <w:lvlText w:val="%5."/>
      <w:lvlJc w:val="left"/>
      <w:pPr>
        <w:ind w:left="4454" w:hanging="360"/>
      </w:pPr>
    </w:lvl>
    <w:lvl w:ilvl="5" w:tplc="2409001B" w:tentative="1">
      <w:start w:val="1"/>
      <w:numFmt w:val="lowerRoman"/>
      <w:lvlText w:val="%6."/>
      <w:lvlJc w:val="right"/>
      <w:pPr>
        <w:ind w:left="5174" w:hanging="180"/>
      </w:pPr>
    </w:lvl>
    <w:lvl w:ilvl="6" w:tplc="2409000F" w:tentative="1">
      <w:start w:val="1"/>
      <w:numFmt w:val="decimal"/>
      <w:lvlText w:val="%7."/>
      <w:lvlJc w:val="left"/>
      <w:pPr>
        <w:ind w:left="5894" w:hanging="360"/>
      </w:pPr>
    </w:lvl>
    <w:lvl w:ilvl="7" w:tplc="24090019" w:tentative="1">
      <w:start w:val="1"/>
      <w:numFmt w:val="lowerLetter"/>
      <w:lvlText w:val="%8."/>
      <w:lvlJc w:val="left"/>
      <w:pPr>
        <w:ind w:left="6614" w:hanging="360"/>
      </w:pPr>
    </w:lvl>
    <w:lvl w:ilvl="8" w:tplc="2409001B" w:tentative="1">
      <w:start w:val="1"/>
      <w:numFmt w:val="lowerRoman"/>
      <w:lvlText w:val="%9."/>
      <w:lvlJc w:val="right"/>
      <w:pPr>
        <w:ind w:left="7334" w:hanging="180"/>
      </w:pPr>
    </w:lvl>
  </w:abstractNum>
  <w:abstractNum w:abstractNumId="22">
    <w:nsid w:val="7C115E0D"/>
    <w:multiLevelType w:val="hybridMultilevel"/>
    <w:tmpl w:val="3F0050A2"/>
    <w:lvl w:ilvl="0" w:tplc="2409000F">
      <w:start w:val="4"/>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4"/>
  </w:num>
  <w:num w:numId="2">
    <w:abstractNumId w:val="13"/>
  </w:num>
  <w:num w:numId="3">
    <w:abstractNumId w:val="21"/>
  </w:num>
  <w:num w:numId="4">
    <w:abstractNumId w:val="3"/>
  </w:num>
  <w:num w:numId="5">
    <w:abstractNumId w:val="19"/>
  </w:num>
  <w:num w:numId="6">
    <w:abstractNumId w:val="6"/>
  </w:num>
  <w:num w:numId="7">
    <w:abstractNumId w:val="20"/>
  </w:num>
  <w:num w:numId="8">
    <w:abstractNumId w:val="9"/>
  </w:num>
  <w:num w:numId="9">
    <w:abstractNumId w:val="8"/>
  </w:num>
  <w:num w:numId="10">
    <w:abstractNumId w:val="14"/>
  </w:num>
  <w:num w:numId="11">
    <w:abstractNumId w:val="5"/>
  </w:num>
  <w:num w:numId="12">
    <w:abstractNumId w:val="17"/>
  </w:num>
  <w:num w:numId="13">
    <w:abstractNumId w:val="7"/>
  </w:num>
  <w:num w:numId="14">
    <w:abstractNumId w:val="16"/>
  </w:num>
  <w:num w:numId="15">
    <w:abstractNumId w:val="12"/>
  </w:num>
  <w:num w:numId="16">
    <w:abstractNumId w:val="11"/>
  </w:num>
  <w:num w:numId="17">
    <w:abstractNumId w:val="1"/>
  </w:num>
  <w:num w:numId="18">
    <w:abstractNumId w:val="15"/>
  </w:num>
  <w:num w:numId="19">
    <w:abstractNumId w:val="2"/>
  </w:num>
  <w:num w:numId="20">
    <w:abstractNumId w:val="18"/>
  </w:num>
  <w:num w:numId="21">
    <w:abstractNumId w:val="10"/>
  </w:num>
  <w:num w:numId="22">
    <w:abstractNumId w:val="22"/>
  </w:num>
  <w:num w:numId="23">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247"/>
    <w:rsid w:val="00002CC9"/>
    <w:rsid w:val="00004F1F"/>
    <w:rsid w:val="0000518F"/>
    <w:rsid w:val="000073F9"/>
    <w:rsid w:val="0001018A"/>
    <w:rsid w:val="0001152D"/>
    <w:rsid w:val="00011693"/>
    <w:rsid w:val="00013F3F"/>
    <w:rsid w:val="00014F4A"/>
    <w:rsid w:val="0001596D"/>
    <w:rsid w:val="00016CE5"/>
    <w:rsid w:val="000216F9"/>
    <w:rsid w:val="000230CA"/>
    <w:rsid w:val="0002527F"/>
    <w:rsid w:val="00030A6F"/>
    <w:rsid w:val="00031D0E"/>
    <w:rsid w:val="000326BF"/>
    <w:rsid w:val="000350B6"/>
    <w:rsid w:val="00035665"/>
    <w:rsid w:val="00036D21"/>
    <w:rsid w:val="00037EDF"/>
    <w:rsid w:val="00037FD9"/>
    <w:rsid w:val="00040DB5"/>
    <w:rsid w:val="0004612F"/>
    <w:rsid w:val="000466A6"/>
    <w:rsid w:val="00046E3C"/>
    <w:rsid w:val="00047C02"/>
    <w:rsid w:val="00050014"/>
    <w:rsid w:val="00050C58"/>
    <w:rsid w:val="00052D60"/>
    <w:rsid w:val="00056988"/>
    <w:rsid w:val="00057C2A"/>
    <w:rsid w:val="00057D74"/>
    <w:rsid w:val="00062AAF"/>
    <w:rsid w:val="00062C7A"/>
    <w:rsid w:val="00064ADA"/>
    <w:rsid w:val="00067694"/>
    <w:rsid w:val="00067C0A"/>
    <w:rsid w:val="000701D8"/>
    <w:rsid w:val="00070711"/>
    <w:rsid w:val="00071616"/>
    <w:rsid w:val="00071768"/>
    <w:rsid w:val="000721BA"/>
    <w:rsid w:val="00073543"/>
    <w:rsid w:val="00076AC4"/>
    <w:rsid w:val="000878A0"/>
    <w:rsid w:val="0009050E"/>
    <w:rsid w:val="0009328E"/>
    <w:rsid w:val="000958E3"/>
    <w:rsid w:val="00095AE3"/>
    <w:rsid w:val="00096927"/>
    <w:rsid w:val="000A49CE"/>
    <w:rsid w:val="000A5831"/>
    <w:rsid w:val="000A6D6C"/>
    <w:rsid w:val="000B3F4B"/>
    <w:rsid w:val="000B4879"/>
    <w:rsid w:val="000B5115"/>
    <w:rsid w:val="000B6EB4"/>
    <w:rsid w:val="000C14DA"/>
    <w:rsid w:val="000C2FE8"/>
    <w:rsid w:val="000C3E68"/>
    <w:rsid w:val="000D237F"/>
    <w:rsid w:val="000D66DE"/>
    <w:rsid w:val="000D6A94"/>
    <w:rsid w:val="000E2B96"/>
    <w:rsid w:val="000F6055"/>
    <w:rsid w:val="000F6681"/>
    <w:rsid w:val="000F731F"/>
    <w:rsid w:val="000F7A04"/>
    <w:rsid w:val="000F7E28"/>
    <w:rsid w:val="001010FB"/>
    <w:rsid w:val="0010183B"/>
    <w:rsid w:val="00102FED"/>
    <w:rsid w:val="00114AE5"/>
    <w:rsid w:val="00115045"/>
    <w:rsid w:val="00117F43"/>
    <w:rsid w:val="0012275B"/>
    <w:rsid w:val="001248BD"/>
    <w:rsid w:val="001273FB"/>
    <w:rsid w:val="0013000F"/>
    <w:rsid w:val="00130C34"/>
    <w:rsid w:val="0013147B"/>
    <w:rsid w:val="00131AF0"/>
    <w:rsid w:val="0013483B"/>
    <w:rsid w:val="00135ABA"/>
    <w:rsid w:val="0013754B"/>
    <w:rsid w:val="001404D9"/>
    <w:rsid w:val="0014687E"/>
    <w:rsid w:val="00150580"/>
    <w:rsid w:val="001538C0"/>
    <w:rsid w:val="00155CD9"/>
    <w:rsid w:val="00156ECE"/>
    <w:rsid w:val="001658AF"/>
    <w:rsid w:val="00166B71"/>
    <w:rsid w:val="00166F96"/>
    <w:rsid w:val="001703C0"/>
    <w:rsid w:val="001732A3"/>
    <w:rsid w:val="00180AC3"/>
    <w:rsid w:val="00183CA9"/>
    <w:rsid w:val="001906F2"/>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E60A4"/>
    <w:rsid w:val="001F624D"/>
    <w:rsid w:val="001F7AC4"/>
    <w:rsid w:val="002009DC"/>
    <w:rsid w:val="00200BC9"/>
    <w:rsid w:val="00203218"/>
    <w:rsid w:val="00206181"/>
    <w:rsid w:val="0021008B"/>
    <w:rsid w:val="002104A3"/>
    <w:rsid w:val="00212183"/>
    <w:rsid w:val="0021324B"/>
    <w:rsid w:val="00215E48"/>
    <w:rsid w:val="00217D7E"/>
    <w:rsid w:val="00222941"/>
    <w:rsid w:val="00222F81"/>
    <w:rsid w:val="00224E2E"/>
    <w:rsid w:val="00225ED1"/>
    <w:rsid w:val="00237524"/>
    <w:rsid w:val="00237F92"/>
    <w:rsid w:val="00250218"/>
    <w:rsid w:val="0025054F"/>
    <w:rsid w:val="00250A57"/>
    <w:rsid w:val="00253878"/>
    <w:rsid w:val="002549BA"/>
    <w:rsid w:val="00255F4B"/>
    <w:rsid w:val="00260302"/>
    <w:rsid w:val="00260890"/>
    <w:rsid w:val="002610CD"/>
    <w:rsid w:val="00261C0C"/>
    <w:rsid w:val="0026208E"/>
    <w:rsid w:val="00265F85"/>
    <w:rsid w:val="0027431D"/>
    <w:rsid w:val="00275006"/>
    <w:rsid w:val="002775CF"/>
    <w:rsid w:val="002777C1"/>
    <w:rsid w:val="002779BB"/>
    <w:rsid w:val="002828D0"/>
    <w:rsid w:val="00282A01"/>
    <w:rsid w:val="00284FBA"/>
    <w:rsid w:val="00287123"/>
    <w:rsid w:val="002877C8"/>
    <w:rsid w:val="0029147C"/>
    <w:rsid w:val="002A21D3"/>
    <w:rsid w:val="002A40EF"/>
    <w:rsid w:val="002A6C32"/>
    <w:rsid w:val="002B3720"/>
    <w:rsid w:val="002C0B91"/>
    <w:rsid w:val="002C128A"/>
    <w:rsid w:val="002C1C8E"/>
    <w:rsid w:val="002C2F1C"/>
    <w:rsid w:val="002C47F0"/>
    <w:rsid w:val="002C4CD4"/>
    <w:rsid w:val="002C6730"/>
    <w:rsid w:val="002D1D5F"/>
    <w:rsid w:val="002D6787"/>
    <w:rsid w:val="002D70CE"/>
    <w:rsid w:val="002D72EA"/>
    <w:rsid w:val="002D750C"/>
    <w:rsid w:val="002E2140"/>
    <w:rsid w:val="002E6147"/>
    <w:rsid w:val="002E75EA"/>
    <w:rsid w:val="002F07E9"/>
    <w:rsid w:val="002F3883"/>
    <w:rsid w:val="002F4C5E"/>
    <w:rsid w:val="002F518E"/>
    <w:rsid w:val="002F640A"/>
    <w:rsid w:val="002F7439"/>
    <w:rsid w:val="003010BD"/>
    <w:rsid w:val="00301F83"/>
    <w:rsid w:val="00302D41"/>
    <w:rsid w:val="003030AF"/>
    <w:rsid w:val="00305121"/>
    <w:rsid w:val="003056A7"/>
    <w:rsid w:val="00306E67"/>
    <w:rsid w:val="00307C2A"/>
    <w:rsid w:val="003135AF"/>
    <w:rsid w:val="00316768"/>
    <w:rsid w:val="00323264"/>
    <w:rsid w:val="00326326"/>
    <w:rsid w:val="00333EB4"/>
    <w:rsid w:val="00340524"/>
    <w:rsid w:val="00342799"/>
    <w:rsid w:val="00342FCB"/>
    <w:rsid w:val="00344288"/>
    <w:rsid w:val="003448E2"/>
    <w:rsid w:val="00344AAA"/>
    <w:rsid w:val="003478E6"/>
    <w:rsid w:val="003530D7"/>
    <w:rsid w:val="00353E17"/>
    <w:rsid w:val="003541B5"/>
    <w:rsid w:val="0035567F"/>
    <w:rsid w:val="003556BD"/>
    <w:rsid w:val="003606EE"/>
    <w:rsid w:val="0036402A"/>
    <w:rsid w:val="00371B82"/>
    <w:rsid w:val="00372CC7"/>
    <w:rsid w:val="00373A32"/>
    <w:rsid w:val="00374424"/>
    <w:rsid w:val="0037450A"/>
    <w:rsid w:val="0037565D"/>
    <w:rsid w:val="00376FE1"/>
    <w:rsid w:val="00381D34"/>
    <w:rsid w:val="00383BFA"/>
    <w:rsid w:val="00393F9B"/>
    <w:rsid w:val="003944DD"/>
    <w:rsid w:val="003A0A7C"/>
    <w:rsid w:val="003A3A9C"/>
    <w:rsid w:val="003A49D0"/>
    <w:rsid w:val="003A6C90"/>
    <w:rsid w:val="003B2410"/>
    <w:rsid w:val="003B5286"/>
    <w:rsid w:val="003B5954"/>
    <w:rsid w:val="003C05F6"/>
    <w:rsid w:val="003C2609"/>
    <w:rsid w:val="003C268C"/>
    <w:rsid w:val="003C50A4"/>
    <w:rsid w:val="003C68D5"/>
    <w:rsid w:val="003D0827"/>
    <w:rsid w:val="003D1BB7"/>
    <w:rsid w:val="003D22A9"/>
    <w:rsid w:val="003D2BBA"/>
    <w:rsid w:val="003D3408"/>
    <w:rsid w:val="003D66AE"/>
    <w:rsid w:val="003D68FF"/>
    <w:rsid w:val="003D6FDE"/>
    <w:rsid w:val="003D7B68"/>
    <w:rsid w:val="003E2668"/>
    <w:rsid w:val="003E6047"/>
    <w:rsid w:val="003E6ACE"/>
    <w:rsid w:val="003F1567"/>
    <w:rsid w:val="003F2AC2"/>
    <w:rsid w:val="003F3D5E"/>
    <w:rsid w:val="003F4A12"/>
    <w:rsid w:val="003F52AE"/>
    <w:rsid w:val="003F5F98"/>
    <w:rsid w:val="003F73D0"/>
    <w:rsid w:val="00401679"/>
    <w:rsid w:val="00407781"/>
    <w:rsid w:val="004110BF"/>
    <w:rsid w:val="00417067"/>
    <w:rsid w:val="004171A9"/>
    <w:rsid w:val="004177D2"/>
    <w:rsid w:val="00417A71"/>
    <w:rsid w:val="00417EA1"/>
    <w:rsid w:val="00424A69"/>
    <w:rsid w:val="00430103"/>
    <w:rsid w:val="004307FA"/>
    <w:rsid w:val="00440743"/>
    <w:rsid w:val="004415A3"/>
    <w:rsid w:val="0044173C"/>
    <w:rsid w:val="00442436"/>
    <w:rsid w:val="004430A7"/>
    <w:rsid w:val="004440B0"/>
    <w:rsid w:val="004444F5"/>
    <w:rsid w:val="004450DF"/>
    <w:rsid w:val="00445816"/>
    <w:rsid w:val="004462B8"/>
    <w:rsid w:val="00446DDC"/>
    <w:rsid w:val="004477C9"/>
    <w:rsid w:val="004477F7"/>
    <w:rsid w:val="00451F88"/>
    <w:rsid w:val="00457489"/>
    <w:rsid w:val="004604C7"/>
    <w:rsid w:val="0046057D"/>
    <w:rsid w:val="004620C9"/>
    <w:rsid w:val="004654FF"/>
    <w:rsid w:val="0046704D"/>
    <w:rsid w:val="0046737B"/>
    <w:rsid w:val="00470B39"/>
    <w:rsid w:val="00470B4E"/>
    <w:rsid w:val="00470CEE"/>
    <w:rsid w:val="00473648"/>
    <w:rsid w:val="00474764"/>
    <w:rsid w:val="004757A1"/>
    <w:rsid w:val="004771AF"/>
    <w:rsid w:val="0048062F"/>
    <w:rsid w:val="00480DB7"/>
    <w:rsid w:val="00481A09"/>
    <w:rsid w:val="00482145"/>
    <w:rsid w:val="00482765"/>
    <w:rsid w:val="004862E3"/>
    <w:rsid w:val="00486592"/>
    <w:rsid w:val="0049357D"/>
    <w:rsid w:val="00496F25"/>
    <w:rsid w:val="004A2A88"/>
    <w:rsid w:val="004A47A3"/>
    <w:rsid w:val="004A6D97"/>
    <w:rsid w:val="004A7C66"/>
    <w:rsid w:val="004B12AC"/>
    <w:rsid w:val="004B5FFD"/>
    <w:rsid w:val="004C1053"/>
    <w:rsid w:val="004C469C"/>
    <w:rsid w:val="004D2017"/>
    <w:rsid w:val="004D2513"/>
    <w:rsid w:val="004D44A6"/>
    <w:rsid w:val="004D6B14"/>
    <w:rsid w:val="004D76C6"/>
    <w:rsid w:val="004E3BBF"/>
    <w:rsid w:val="004E4E08"/>
    <w:rsid w:val="004E6D8E"/>
    <w:rsid w:val="004F1929"/>
    <w:rsid w:val="004F3673"/>
    <w:rsid w:val="005014E3"/>
    <w:rsid w:val="005022D1"/>
    <w:rsid w:val="0050512F"/>
    <w:rsid w:val="0050588E"/>
    <w:rsid w:val="00512A58"/>
    <w:rsid w:val="0051414A"/>
    <w:rsid w:val="005149C4"/>
    <w:rsid w:val="00514B26"/>
    <w:rsid w:val="00516473"/>
    <w:rsid w:val="0051705E"/>
    <w:rsid w:val="005228DF"/>
    <w:rsid w:val="005230EE"/>
    <w:rsid w:val="00525D7C"/>
    <w:rsid w:val="00530DB9"/>
    <w:rsid w:val="00531799"/>
    <w:rsid w:val="00534AD1"/>
    <w:rsid w:val="00535B5E"/>
    <w:rsid w:val="00536D70"/>
    <w:rsid w:val="00540D01"/>
    <w:rsid w:val="00541425"/>
    <w:rsid w:val="00541C34"/>
    <w:rsid w:val="005438EC"/>
    <w:rsid w:val="00550C9D"/>
    <w:rsid w:val="00551EFB"/>
    <w:rsid w:val="0055287E"/>
    <w:rsid w:val="00553D15"/>
    <w:rsid w:val="00554081"/>
    <w:rsid w:val="00554130"/>
    <w:rsid w:val="00554F1D"/>
    <w:rsid w:val="005551D9"/>
    <w:rsid w:val="00557946"/>
    <w:rsid w:val="00557B88"/>
    <w:rsid w:val="005675B7"/>
    <w:rsid w:val="005705A9"/>
    <w:rsid w:val="005714B7"/>
    <w:rsid w:val="005735C3"/>
    <w:rsid w:val="0058072A"/>
    <w:rsid w:val="00581B89"/>
    <w:rsid w:val="00582ED8"/>
    <w:rsid w:val="00583B2F"/>
    <w:rsid w:val="00584247"/>
    <w:rsid w:val="005848EA"/>
    <w:rsid w:val="00586459"/>
    <w:rsid w:val="00587138"/>
    <w:rsid w:val="00590254"/>
    <w:rsid w:val="005935D2"/>
    <w:rsid w:val="00595857"/>
    <w:rsid w:val="005A00E5"/>
    <w:rsid w:val="005A099C"/>
    <w:rsid w:val="005A1890"/>
    <w:rsid w:val="005A2DAB"/>
    <w:rsid w:val="005A4D39"/>
    <w:rsid w:val="005B3428"/>
    <w:rsid w:val="005B40D1"/>
    <w:rsid w:val="005B5C99"/>
    <w:rsid w:val="005B6AE3"/>
    <w:rsid w:val="005B7CFD"/>
    <w:rsid w:val="005C2771"/>
    <w:rsid w:val="005C6C3F"/>
    <w:rsid w:val="005D32C0"/>
    <w:rsid w:val="005D3577"/>
    <w:rsid w:val="005E1E13"/>
    <w:rsid w:val="005E264C"/>
    <w:rsid w:val="005E3464"/>
    <w:rsid w:val="005E46E9"/>
    <w:rsid w:val="005F0039"/>
    <w:rsid w:val="005F2D90"/>
    <w:rsid w:val="005F3395"/>
    <w:rsid w:val="005F73ED"/>
    <w:rsid w:val="0060448B"/>
    <w:rsid w:val="00605518"/>
    <w:rsid w:val="006059EA"/>
    <w:rsid w:val="00610EEC"/>
    <w:rsid w:val="00613FCC"/>
    <w:rsid w:val="006164AC"/>
    <w:rsid w:val="00616B0E"/>
    <w:rsid w:val="006202F7"/>
    <w:rsid w:val="0062126F"/>
    <w:rsid w:val="00621E54"/>
    <w:rsid w:val="00621E9B"/>
    <w:rsid w:val="00622A8A"/>
    <w:rsid w:val="00623270"/>
    <w:rsid w:val="006243BE"/>
    <w:rsid w:val="006258CB"/>
    <w:rsid w:val="00627ADE"/>
    <w:rsid w:val="006316D1"/>
    <w:rsid w:val="00632622"/>
    <w:rsid w:val="0063337A"/>
    <w:rsid w:val="00633BE5"/>
    <w:rsid w:val="00633F3D"/>
    <w:rsid w:val="006348F1"/>
    <w:rsid w:val="00637112"/>
    <w:rsid w:val="00641EF9"/>
    <w:rsid w:val="006458C9"/>
    <w:rsid w:val="00647835"/>
    <w:rsid w:val="00650761"/>
    <w:rsid w:val="006518D3"/>
    <w:rsid w:val="0065441E"/>
    <w:rsid w:val="00655054"/>
    <w:rsid w:val="00660B55"/>
    <w:rsid w:val="00660BBA"/>
    <w:rsid w:val="00660FA5"/>
    <w:rsid w:val="006630C3"/>
    <w:rsid w:val="0066763D"/>
    <w:rsid w:val="00667665"/>
    <w:rsid w:val="006717FF"/>
    <w:rsid w:val="00671B8A"/>
    <w:rsid w:val="00672489"/>
    <w:rsid w:val="00672C40"/>
    <w:rsid w:val="00685C34"/>
    <w:rsid w:val="00691113"/>
    <w:rsid w:val="0069209E"/>
    <w:rsid w:val="00692119"/>
    <w:rsid w:val="00697397"/>
    <w:rsid w:val="006A47ED"/>
    <w:rsid w:val="006A4AF3"/>
    <w:rsid w:val="006A6707"/>
    <w:rsid w:val="006A6A2C"/>
    <w:rsid w:val="006A6DF1"/>
    <w:rsid w:val="006B14D8"/>
    <w:rsid w:val="006B16FA"/>
    <w:rsid w:val="006B202F"/>
    <w:rsid w:val="006B30F1"/>
    <w:rsid w:val="006B488B"/>
    <w:rsid w:val="006B4B16"/>
    <w:rsid w:val="006C2C03"/>
    <w:rsid w:val="006C43D7"/>
    <w:rsid w:val="006C6406"/>
    <w:rsid w:val="006C74AF"/>
    <w:rsid w:val="006C799F"/>
    <w:rsid w:val="006C7ACC"/>
    <w:rsid w:val="006D232D"/>
    <w:rsid w:val="006D2EBA"/>
    <w:rsid w:val="006D45E8"/>
    <w:rsid w:val="006D4CB6"/>
    <w:rsid w:val="006E2800"/>
    <w:rsid w:val="006E2F13"/>
    <w:rsid w:val="006E31AB"/>
    <w:rsid w:val="006E552C"/>
    <w:rsid w:val="006E68CF"/>
    <w:rsid w:val="006F56F6"/>
    <w:rsid w:val="00701AB9"/>
    <w:rsid w:val="007055C9"/>
    <w:rsid w:val="007075DB"/>
    <w:rsid w:val="00711981"/>
    <w:rsid w:val="00712BEF"/>
    <w:rsid w:val="007135BB"/>
    <w:rsid w:val="00715242"/>
    <w:rsid w:val="00716AE4"/>
    <w:rsid w:val="007176A9"/>
    <w:rsid w:val="00720DA3"/>
    <w:rsid w:val="00720DFB"/>
    <w:rsid w:val="00721574"/>
    <w:rsid w:val="00723706"/>
    <w:rsid w:val="00730B57"/>
    <w:rsid w:val="007311D0"/>
    <w:rsid w:val="00731A0E"/>
    <w:rsid w:val="007331EC"/>
    <w:rsid w:val="007344C7"/>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16A"/>
    <w:rsid w:val="00796EA8"/>
    <w:rsid w:val="007A0964"/>
    <w:rsid w:val="007A23CF"/>
    <w:rsid w:val="007A4548"/>
    <w:rsid w:val="007A4B0F"/>
    <w:rsid w:val="007B16B9"/>
    <w:rsid w:val="007B1B41"/>
    <w:rsid w:val="007B2D84"/>
    <w:rsid w:val="007B3AE3"/>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4DF0"/>
    <w:rsid w:val="007F5B47"/>
    <w:rsid w:val="007F6210"/>
    <w:rsid w:val="007F625D"/>
    <w:rsid w:val="007F723A"/>
    <w:rsid w:val="0080040D"/>
    <w:rsid w:val="00801FA7"/>
    <w:rsid w:val="008040B1"/>
    <w:rsid w:val="00804964"/>
    <w:rsid w:val="0080586A"/>
    <w:rsid w:val="008070A2"/>
    <w:rsid w:val="00810736"/>
    <w:rsid w:val="00812FB0"/>
    <w:rsid w:val="0081378B"/>
    <w:rsid w:val="00814050"/>
    <w:rsid w:val="0081666D"/>
    <w:rsid w:val="0081678B"/>
    <w:rsid w:val="00822EFC"/>
    <w:rsid w:val="0082712A"/>
    <w:rsid w:val="008276A0"/>
    <w:rsid w:val="00836297"/>
    <w:rsid w:val="00836CCA"/>
    <w:rsid w:val="00842DC0"/>
    <w:rsid w:val="00844380"/>
    <w:rsid w:val="00846185"/>
    <w:rsid w:val="00851853"/>
    <w:rsid w:val="00851E4F"/>
    <w:rsid w:val="00852A4D"/>
    <w:rsid w:val="008534E8"/>
    <w:rsid w:val="00854C09"/>
    <w:rsid w:val="008573D6"/>
    <w:rsid w:val="00860581"/>
    <w:rsid w:val="008615CB"/>
    <w:rsid w:val="00861C13"/>
    <w:rsid w:val="0086320E"/>
    <w:rsid w:val="00864502"/>
    <w:rsid w:val="008658C2"/>
    <w:rsid w:val="00866044"/>
    <w:rsid w:val="008747A6"/>
    <w:rsid w:val="008810CD"/>
    <w:rsid w:val="0088151E"/>
    <w:rsid w:val="00882079"/>
    <w:rsid w:val="00882917"/>
    <w:rsid w:val="0088443B"/>
    <w:rsid w:val="00884CEF"/>
    <w:rsid w:val="008855A3"/>
    <w:rsid w:val="00890003"/>
    <w:rsid w:val="00890D74"/>
    <w:rsid w:val="00890F51"/>
    <w:rsid w:val="008915BD"/>
    <w:rsid w:val="008923E8"/>
    <w:rsid w:val="008A3322"/>
    <w:rsid w:val="008A5D7A"/>
    <w:rsid w:val="008B175E"/>
    <w:rsid w:val="008B225F"/>
    <w:rsid w:val="008B4BF7"/>
    <w:rsid w:val="008C0A51"/>
    <w:rsid w:val="008C2875"/>
    <w:rsid w:val="008C6039"/>
    <w:rsid w:val="008D1B56"/>
    <w:rsid w:val="008D2EC3"/>
    <w:rsid w:val="008D786D"/>
    <w:rsid w:val="008E0CC0"/>
    <w:rsid w:val="008E4FAA"/>
    <w:rsid w:val="008E57F7"/>
    <w:rsid w:val="008E7556"/>
    <w:rsid w:val="008E757C"/>
    <w:rsid w:val="008E75FE"/>
    <w:rsid w:val="008F1207"/>
    <w:rsid w:val="008F355C"/>
    <w:rsid w:val="008F4051"/>
    <w:rsid w:val="008F4210"/>
    <w:rsid w:val="008F4B9D"/>
    <w:rsid w:val="008F5CC8"/>
    <w:rsid w:val="00900D71"/>
    <w:rsid w:val="00907566"/>
    <w:rsid w:val="00912024"/>
    <w:rsid w:val="009178E6"/>
    <w:rsid w:val="009251F4"/>
    <w:rsid w:val="00925829"/>
    <w:rsid w:val="00926CF5"/>
    <w:rsid w:val="009401BE"/>
    <w:rsid w:val="009405CD"/>
    <w:rsid w:val="009411B1"/>
    <w:rsid w:val="00941EEA"/>
    <w:rsid w:val="0094358A"/>
    <w:rsid w:val="00953434"/>
    <w:rsid w:val="0095374D"/>
    <w:rsid w:val="00955AC1"/>
    <w:rsid w:val="009565E2"/>
    <w:rsid w:val="00957F65"/>
    <w:rsid w:val="00964197"/>
    <w:rsid w:val="00966430"/>
    <w:rsid w:val="009675F1"/>
    <w:rsid w:val="00970DC3"/>
    <w:rsid w:val="00970FB1"/>
    <w:rsid w:val="00980361"/>
    <w:rsid w:val="009845AE"/>
    <w:rsid w:val="00984ABE"/>
    <w:rsid w:val="009877CE"/>
    <w:rsid w:val="00992F74"/>
    <w:rsid w:val="0099708A"/>
    <w:rsid w:val="00997D14"/>
    <w:rsid w:val="00997FAD"/>
    <w:rsid w:val="009A1C56"/>
    <w:rsid w:val="009A3F84"/>
    <w:rsid w:val="009A41B3"/>
    <w:rsid w:val="009A4A89"/>
    <w:rsid w:val="009A7DB3"/>
    <w:rsid w:val="009B0A74"/>
    <w:rsid w:val="009B0EC9"/>
    <w:rsid w:val="009B2615"/>
    <w:rsid w:val="009B4140"/>
    <w:rsid w:val="009C0072"/>
    <w:rsid w:val="009C0806"/>
    <w:rsid w:val="009C55F9"/>
    <w:rsid w:val="009D064A"/>
    <w:rsid w:val="009D240E"/>
    <w:rsid w:val="009D2788"/>
    <w:rsid w:val="009D3654"/>
    <w:rsid w:val="009D5BD0"/>
    <w:rsid w:val="009F0B25"/>
    <w:rsid w:val="009F19B0"/>
    <w:rsid w:val="009F394F"/>
    <w:rsid w:val="009F4110"/>
    <w:rsid w:val="009F47CC"/>
    <w:rsid w:val="009F7A67"/>
    <w:rsid w:val="00A02FA2"/>
    <w:rsid w:val="00A11229"/>
    <w:rsid w:val="00A1165C"/>
    <w:rsid w:val="00A15ED0"/>
    <w:rsid w:val="00A15F33"/>
    <w:rsid w:val="00A169A1"/>
    <w:rsid w:val="00A214FB"/>
    <w:rsid w:val="00A25597"/>
    <w:rsid w:val="00A27560"/>
    <w:rsid w:val="00A3089A"/>
    <w:rsid w:val="00A31BB7"/>
    <w:rsid w:val="00A31D2B"/>
    <w:rsid w:val="00A33462"/>
    <w:rsid w:val="00A35CEE"/>
    <w:rsid w:val="00A37F7D"/>
    <w:rsid w:val="00A42DA5"/>
    <w:rsid w:val="00A4378C"/>
    <w:rsid w:val="00A45525"/>
    <w:rsid w:val="00A47A7C"/>
    <w:rsid w:val="00A51C49"/>
    <w:rsid w:val="00A605F3"/>
    <w:rsid w:val="00A6390C"/>
    <w:rsid w:val="00A7085C"/>
    <w:rsid w:val="00A729F6"/>
    <w:rsid w:val="00A73620"/>
    <w:rsid w:val="00A73BF3"/>
    <w:rsid w:val="00A74EF3"/>
    <w:rsid w:val="00A7757E"/>
    <w:rsid w:val="00A77F4F"/>
    <w:rsid w:val="00A835E7"/>
    <w:rsid w:val="00A85D89"/>
    <w:rsid w:val="00A86F5E"/>
    <w:rsid w:val="00A87FF1"/>
    <w:rsid w:val="00A90BE3"/>
    <w:rsid w:val="00A90EC2"/>
    <w:rsid w:val="00A938AF"/>
    <w:rsid w:val="00A94002"/>
    <w:rsid w:val="00A95BEB"/>
    <w:rsid w:val="00AA142C"/>
    <w:rsid w:val="00AA2B6B"/>
    <w:rsid w:val="00AA4CF6"/>
    <w:rsid w:val="00AA591F"/>
    <w:rsid w:val="00AA61F7"/>
    <w:rsid w:val="00AB0C45"/>
    <w:rsid w:val="00AB6B36"/>
    <w:rsid w:val="00AC06F2"/>
    <w:rsid w:val="00AC3B65"/>
    <w:rsid w:val="00AC4F7C"/>
    <w:rsid w:val="00AD228D"/>
    <w:rsid w:val="00AD507D"/>
    <w:rsid w:val="00AE2688"/>
    <w:rsid w:val="00AE4D43"/>
    <w:rsid w:val="00AE597C"/>
    <w:rsid w:val="00AE7010"/>
    <w:rsid w:val="00AF1590"/>
    <w:rsid w:val="00AF2B96"/>
    <w:rsid w:val="00AF3241"/>
    <w:rsid w:val="00AF42BE"/>
    <w:rsid w:val="00AF584C"/>
    <w:rsid w:val="00AF66EF"/>
    <w:rsid w:val="00B00A63"/>
    <w:rsid w:val="00B02E1C"/>
    <w:rsid w:val="00B120FF"/>
    <w:rsid w:val="00B14314"/>
    <w:rsid w:val="00B1460A"/>
    <w:rsid w:val="00B21219"/>
    <w:rsid w:val="00B245AA"/>
    <w:rsid w:val="00B261DB"/>
    <w:rsid w:val="00B314F9"/>
    <w:rsid w:val="00B3254F"/>
    <w:rsid w:val="00B32F0D"/>
    <w:rsid w:val="00B34380"/>
    <w:rsid w:val="00B42945"/>
    <w:rsid w:val="00B4346E"/>
    <w:rsid w:val="00B44AD6"/>
    <w:rsid w:val="00B44F3B"/>
    <w:rsid w:val="00B46001"/>
    <w:rsid w:val="00B519FE"/>
    <w:rsid w:val="00B5347B"/>
    <w:rsid w:val="00B57548"/>
    <w:rsid w:val="00B618CB"/>
    <w:rsid w:val="00B6674D"/>
    <w:rsid w:val="00B66EE9"/>
    <w:rsid w:val="00B67E03"/>
    <w:rsid w:val="00B71719"/>
    <w:rsid w:val="00B722DA"/>
    <w:rsid w:val="00B74F0A"/>
    <w:rsid w:val="00B75EF0"/>
    <w:rsid w:val="00B77456"/>
    <w:rsid w:val="00B779AA"/>
    <w:rsid w:val="00B77FBF"/>
    <w:rsid w:val="00B843D1"/>
    <w:rsid w:val="00B91EC1"/>
    <w:rsid w:val="00B91ECC"/>
    <w:rsid w:val="00B940FE"/>
    <w:rsid w:val="00B94696"/>
    <w:rsid w:val="00B95FA3"/>
    <w:rsid w:val="00BA0FFF"/>
    <w:rsid w:val="00BA454A"/>
    <w:rsid w:val="00BA4B3E"/>
    <w:rsid w:val="00BA5C64"/>
    <w:rsid w:val="00BA61A1"/>
    <w:rsid w:val="00BA6339"/>
    <w:rsid w:val="00BB0D3E"/>
    <w:rsid w:val="00BB1CBE"/>
    <w:rsid w:val="00BB2B01"/>
    <w:rsid w:val="00BB55CD"/>
    <w:rsid w:val="00BC1912"/>
    <w:rsid w:val="00BC3CD3"/>
    <w:rsid w:val="00BC614F"/>
    <w:rsid w:val="00BD0D3A"/>
    <w:rsid w:val="00BD1951"/>
    <w:rsid w:val="00BD20AC"/>
    <w:rsid w:val="00BD2E30"/>
    <w:rsid w:val="00BD30DF"/>
    <w:rsid w:val="00BD507A"/>
    <w:rsid w:val="00BE4220"/>
    <w:rsid w:val="00BE5AFA"/>
    <w:rsid w:val="00BE7053"/>
    <w:rsid w:val="00BF24CE"/>
    <w:rsid w:val="00BF32A2"/>
    <w:rsid w:val="00BF7F7B"/>
    <w:rsid w:val="00C00A8D"/>
    <w:rsid w:val="00C058D3"/>
    <w:rsid w:val="00C05EF5"/>
    <w:rsid w:val="00C109A4"/>
    <w:rsid w:val="00C23E37"/>
    <w:rsid w:val="00C24089"/>
    <w:rsid w:val="00C311E3"/>
    <w:rsid w:val="00C333CC"/>
    <w:rsid w:val="00C33ACC"/>
    <w:rsid w:val="00C4116D"/>
    <w:rsid w:val="00C4535F"/>
    <w:rsid w:val="00C54BDF"/>
    <w:rsid w:val="00C54D52"/>
    <w:rsid w:val="00C56129"/>
    <w:rsid w:val="00C56BA5"/>
    <w:rsid w:val="00C56FEC"/>
    <w:rsid w:val="00C56FF9"/>
    <w:rsid w:val="00C57336"/>
    <w:rsid w:val="00C607FD"/>
    <w:rsid w:val="00C613AA"/>
    <w:rsid w:val="00C61E50"/>
    <w:rsid w:val="00C6232D"/>
    <w:rsid w:val="00C6402F"/>
    <w:rsid w:val="00C654D6"/>
    <w:rsid w:val="00C67FDF"/>
    <w:rsid w:val="00C71033"/>
    <w:rsid w:val="00C7227D"/>
    <w:rsid w:val="00C7246C"/>
    <w:rsid w:val="00C766F4"/>
    <w:rsid w:val="00C80F9F"/>
    <w:rsid w:val="00C843F8"/>
    <w:rsid w:val="00C85853"/>
    <w:rsid w:val="00C86287"/>
    <w:rsid w:val="00C8788B"/>
    <w:rsid w:val="00C90C6F"/>
    <w:rsid w:val="00C91504"/>
    <w:rsid w:val="00C9520F"/>
    <w:rsid w:val="00C95982"/>
    <w:rsid w:val="00CA0734"/>
    <w:rsid w:val="00CA2A91"/>
    <w:rsid w:val="00CA3D1B"/>
    <w:rsid w:val="00CA4EEE"/>
    <w:rsid w:val="00CA5850"/>
    <w:rsid w:val="00CA7300"/>
    <w:rsid w:val="00CA775E"/>
    <w:rsid w:val="00CB4F89"/>
    <w:rsid w:val="00CB5DA3"/>
    <w:rsid w:val="00CC53F4"/>
    <w:rsid w:val="00CD1E6A"/>
    <w:rsid w:val="00CD319A"/>
    <w:rsid w:val="00CD3740"/>
    <w:rsid w:val="00CD650A"/>
    <w:rsid w:val="00CE0D42"/>
    <w:rsid w:val="00CE19CB"/>
    <w:rsid w:val="00CE3AF9"/>
    <w:rsid w:val="00CE3DD6"/>
    <w:rsid w:val="00CF3567"/>
    <w:rsid w:val="00CF4388"/>
    <w:rsid w:val="00CF4646"/>
    <w:rsid w:val="00CF55FE"/>
    <w:rsid w:val="00CF7FCD"/>
    <w:rsid w:val="00D026B6"/>
    <w:rsid w:val="00D12D1B"/>
    <w:rsid w:val="00D16A5F"/>
    <w:rsid w:val="00D2219F"/>
    <w:rsid w:val="00D254C6"/>
    <w:rsid w:val="00D27049"/>
    <w:rsid w:val="00D30528"/>
    <w:rsid w:val="00D30AC0"/>
    <w:rsid w:val="00D319A5"/>
    <w:rsid w:val="00D32089"/>
    <w:rsid w:val="00D35279"/>
    <w:rsid w:val="00D35782"/>
    <w:rsid w:val="00D40D31"/>
    <w:rsid w:val="00D41725"/>
    <w:rsid w:val="00D41FBC"/>
    <w:rsid w:val="00D44863"/>
    <w:rsid w:val="00D44C64"/>
    <w:rsid w:val="00D45700"/>
    <w:rsid w:val="00D47B69"/>
    <w:rsid w:val="00D515D6"/>
    <w:rsid w:val="00D526EC"/>
    <w:rsid w:val="00D53CCE"/>
    <w:rsid w:val="00D60562"/>
    <w:rsid w:val="00D6255E"/>
    <w:rsid w:val="00D63059"/>
    <w:rsid w:val="00D6727C"/>
    <w:rsid w:val="00D67676"/>
    <w:rsid w:val="00D67E4F"/>
    <w:rsid w:val="00D700FC"/>
    <w:rsid w:val="00D70C34"/>
    <w:rsid w:val="00D73827"/>
    <w:rsid w:val="00D74901"/>
    <w:rsid w:val="00D771EC"/>
    <w:rsid w:val="00D77809"/>
    <w:rsid w:val="00D808DE"/>
    <w:rsid w:val="00D80922"/>
    <w:rsid w:val="00D8376E"/>
    <w:rsid w:val="00D84710"/>
    <w:rsid w:val="00D915F6"/>
    <w:rsid w:val="00D92030"/>
    <w:rsid w:val="00D94C70"/>
    <w:rsid w:val="00D95AD3"/>
    <w:rsid w:val="00DA5060"/>
    <w:rsid w:val="00DB11A7"/>
    <w:rsid w:val="00DB2022"/>
    <w:rsid w:val="00DB2503"/>
    <w:rsid w:val="00DB7841"/>
    <w:rsid w:val="00DC05F6"/>
    <w:rsid w:val="00DC203B"/>
    <w:rsid w:val="00DC45F2"/>
    <w:rsid w:val="00DD04EE"/>
    <w:rsid w:val="00DD22B0"/>
    <w:rsid w:val="00DD4EAF"/>
    <w:rsid w:val="00DD7CD5"/>
    <w:rsid w:val="00DE18CD"/>
    <w:rsid w:val="00DE7272"/>
    <w:rsid w:val="00DE73B5"/>
    <w:rsid w:val="00DF0036"/>
    <w:rsid w:val="00DF019C"/>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3B28"/>
    <w:rsid w:val="00E14890"/>
    <w:rsid w:val="00E14BFA"/>
    <w:rsid w:val="00E15DC9"/>
    <w:rsid w:val="00E20E52"/>
    <w:rsid w:val="00E21282"/>
    <w:rsid w:val="00E216D8"/>
    <w:rsid w:val="00E2418A"/>
    <w:rsid w:val="00E27505"/>
    <w:rsid w:val="00E31650"/>
    <w:rsid w:val="00E32015"/>
    <w:rsid w:val="00E33A54"/>
    <w:rsid w:val="00E353BC"/>
    <w:rsid w:val="00E36330"/>
    <w:rsid w:val="00E36711"/>
    <w:rsid w:val="00E4034E"/>
    <w:rsid w:val="00E41B37"/>
    <w:rsid w:val="00E432E6"/>
    <w:rsid w:val="00E44DC5"/>
    <w:rsid w:val="00E54F17"/>
    <w:rsid w:val="00E55354"/>
    <w:rsid w:val="00E56A18"/>
    <w:rsid w:val="00E62A50"/>
    <w:rsid w:val="00E70EB0"/>
    <w:rsid w:val="00E74027"/>
    <w:rsid w:val="00E74714"/>
    <w:rsid w:val="00E75750"/>
    <w:rsid w:val="00E769D8"/>
    <w:rsid w:val="00E76CB5"/>
    <w:rsid w:val="00E779BD"/>
    <w:rsid w:val="00E823B6"/>
    <w:rsid w:val="00E8393C"/>
    <w:rsid w:val="00E86488"/>
    <w:rsid w:val="00E923AB"/>
    <w:rsid w:val="00E95C1C"/>
    <w:rsid w:val="00E9601A"/>
    <w:rsid w:val="00EA0923"/>
    <w:rsid w:val="00EA24FD"/>
    <w:rsid w:val="00EA2DE5"/>
    <w:rsid w:val="00EA508E"/>
    <w:rsid w:val="00EB0393"/>
    <w:rsid w:val="00EB288E"/>
    <w:rsid w:val="00EB49B1"/>
    <w:rsid w:val="00EC39F2"/>
    <w:rsid w:val="00ED05DA"/>
    <w:rsid w:val="00ED0A00"/>
    <w:rsid w:val="00ED0FC0"/>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4B47"/>
    <w:rsid w:val="00EF5A66"/>
    <w:rsid w:val="00EF6299"/>
    <w:rsid w:val="00F01879"/>
    <w:rsid w:val="00F109BD"/>
    <w:rsid w:val="00F16AFB"/>
    <w:rsid w:val="00F26443"/>
    <w:rsid w:val="00F26AD6"/>
    <w:rsid w:val="00F316FC"/>
    <w:rsid w:val="00F31F85"/>
    <w:rsid w:val="00F32FC4"/>
    <w:rsid w:val="00F36709"/>
    <w:rsid w:val="00F37F9F"/>
    <w:rsid w:val="00F40223"/>
    <w:rsid w:val="00F40F31"/>
    <w:rsid w:val="00F41D2C"/>
    <w:rsid w:val="00F44512"/>
    <w:rsid w:val="00F4575B"/>
    <w:rsid w:val="00F45D9F"/>
    <w:rsid w:val="00F4680C"/>
    <w:rsid w:val="00F50214"/>
    <w:rsid w:val="00F50B27"/>
    <w:rsid w:val="00F52276"/>
    <w:rsid w:val="00F52D56"/>
    <w:rsid w:val="00F52F1B"/>
    <w:rsid w:val="00F558D6"/>
    <w:rsid w:val="00F55C2D"/>
    <w:rsid w:val="00F55CF3"/>
    <w:rsid w:val="00F57685"/>
    <w:rsid w:val="00F577B8"/>
    <w:rsid w:val="00F6150B"/>
    <w:rsid w:val="00F62F87"/>
    <w:rsid w:val="00F642A9"/>
    <w:rsid w:val="00F6440F"/>
    <w:rsid w:val="00F66849"/>
    <w:rsid w:val="00F77B17"/>
    <w:rsid w:val="00F80821"/>
    <w:rsid w:val="00F80CAD"/>
    <w:rsid w:val="00F80EB4"/>
    <w:rsid w:val="00F815A8"/>
    <w:rsid w:val="00F84536"/>
    <w:rsid w:val="00F87328"/>
    <w:rsid w:val="00F949BF"/>
    <w:rsid w:val="00F9645F"/>
    <w:rsid w:val="00FA1516"/>
    <w:rsid w:val="00FA1900"/>
    <w:rsid w:val="00FA3099"/>
    <w:rsid w:val="00FA4679"/>
    <w:rsid w:val="00FA677E"/>
    <w:rsid w:val="00FB0F1B"/>
    <w:rsid w:val="00FB1385"/>
    <w:rsid w:val="00FB515F"/>
    <w:rsid w:val="00FB7F50"/>
    <w:rsid w:val="00FC4495"/>
    <w:rsid w:val="00FC6F72"/>
    <w:rsid w:val="00FD03CE"/>
    <w:rsid w:val="00FD1536"/>
    <w:rsid w:val="00FD3707"/>
    <w:rsid w:val="00FD3996"/>
    <w:rsid w:val="00FD57EA"/>
    <w:rsid w:val="00FD6B0D"/>
    <w:rsid w:val="00FD746D"/>
    <w:rsid w:val="00FD77E2"/>
    <w:rsid w:val="00FE32C7"/>
    <w:rsid w:val="00FE79F0"/>
    <w:rsid w:val="00FF153C"/>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financial-sanction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sanctions-embargoes-and-restric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EN/TXT/?uri=uriserv:OJ.L_.2016.332.01.0003.01.ENG&amp;toc=OJ:L:2016:332:TOC"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ony.Bates@fco.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63B5E-C2C8-43B5-90DA-A92CA764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Dunila Cuffy</dc:creator>
  <cp:lastModifiedBy>Fergus-J</cp:lastModifiedBy>
  <cp:revision>5</cp:revision>
  <cp:lastPrinted>2016-07-11T18:55:00Z</cp:lastPrinted>
  <dcterms:created xsi:type="dcterms:W3CDTF">2016-12-12T18:43:00Z</dcterms:created>
  <dcterms:modified xsi:type="dcterms:W3CDTF">2016-12-13T13:51:00Z</dcterms:modified>
</cp:coreProperties>
</file>