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C" w:rsidRDefault="00A47A7C" w:rsidP="007371B9">
      <w:pPr>
        <w:pStyle w:val="Default"/>
        <w:rPr>
          <w:rFonts w:ascii="Bangkok" w:hAnsi="Bangkok"/>
          <w:b/>
          <w:sz w:val="40"/>
          <w:szCs w:val="40"/>
        </w:rPr>
      </w:pPr>
      <w:r>
        <w:rPr>
          <w:rFonts w:ascii="Bangkok" w:hAnsi="Bangkok"/>
          <w:b/>
          <w:noProof/>
          <w:sz w:val="40"/>
          <w:szCs w:val="40"/>
          <w:lang w:val="en-029" w:eastAsia="en-029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-422910</wp:posOffset>
            </wp:positionV>
            <wp:extent cx="1223645" cy="111950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ngkok" w:hAnsi="Bangkok"/>
          <w:b/>
          <w:sz w:val="40"/>
          <w:szCs w:val="40"/>
        </w:rPr>
        <w:t xml:space="preserve"> </w:t>
      </w:r>
      <w:r w:rsidRPr="003A114E">
        <w:rPr>
          <w:rFonts w:ascii="Bangkok" w:hAnsi="Bangkok"/>
          <w:b/>
          <w:sz w:val="40"/>
          <w:szCs w:val="40"/>
        </w:rPr>
        <w:t>FINANCIAL SERVICES COMMISSION</w:t>
      </w:r>
    </w:p>
    <w:p w:rsidR="007371B9" w:rsidRPr="007371B9" w:rsidRDefault="00A47A7C" w:rsidP="007371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Pr="00A47A7C">
        <w:rPr>
          <w:rFonts w:ascii="Arial" w:hAnsi="Arial" w:cs="Arial"/>
          <w:noProof/>
          <w:sz w:val="22"/>
          <w:szCs w:val="22"/>
          <w:lang w:val="en-029" w:eastAsia="en-029"/>
        </w:rPr>
        <w:drawing>
          <wp:inline distT="0" distB="0" distL="0" distR="0">
            <wp:extent cx="4639214" cy="215375"/>
            <wp:effectExtent l="19050" t="0" r="898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37" cy="2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648"/>
      </w:tblGrid>
      <w:tr w:rsidR="001D55F9" w:rsidRPr="00EF0E14" w:rsidTr="0048062F">
        <w:trPr>
          <w:trHeight w:val="10422"/>
        </w:trPr>
        <w:tc>
          <w:tcPr>
            <w:tcW w:w="964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378"/>
            </w:tblGrid>
            <w:tr w:rsidR="00102FED" w:rsidRPr="00EF0E14" w:rsidTr="006C74AF">
              <w:trPr>
                <w:trHeight w:val="1152"/>
              </w:trPr>
              <w:tc>
                <w:tcPr>
                  <w:tcW w:w="9378" w:type="dxa"/>
                </w:tcPr>
                <w:p w:rsidR="00102FED" w:rsidRPr="00EF0E14" w:rsidRDefault="00102FED" w:rsidP="006B488B">
                  <w:pPr>
                    <w:pStyle w:val="Default"/>
                    <w:ind w:left="-90" w:right="-90"/>
                    <w:jc w:val="both"/>
                    <w:rPr>
                      <w:rFonts w:ascii="Arial" w:hAnsi="Arial" w:cs="Arial"/>
                    </w:rPr>
                  </w:pPr>
                </w:p>
                <w:p w:rsidR="00102FED" w:rsidRPr="00EF0E14" w:rsidRDefault="00102FED" w:rsidP="006B488B">
                  <w:pPr>
                    <w:pStyle w:val="Default"/>
                    <w:ind w:left="-90" w:right="-90"/>
                    <w:jc w:val="both"/>
                    <w:rPr>
                      <w:rFonts w:ascii="Arial" w:hAnsi="Arial" w:cs="Arial"/>
                    </w:rPr>
                  </w:pPr>
                </w:p>
                <w:p w:rsidR="00381D34" w:rsidRPr="00EF0E14" w:rsidRDefault="0048062F" w:rsidP="006B488B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</w:t>
                  </w:r>
                  <w:r w:rsidR="002D70CE">
                    <w:rPr>
                      <w:rFonts w:ascii="Arial" w:hAnsi="Arial" w:cs="Arial"/>
                    </w:rPr>
                    <w:t>4</w:t>
                  </w:r>
                  <w:r w:rsidR="00810736">
                    <w:rPr>
                      <w:rFonts w:ascii="Arial" w:hAnsi="Arial" w:cs="Arial"/>
                    </w:rPr>
                    <w:t xml:space="preserve"> December</w:t>
                  </w:r>
                  <w:r w:rsidR="00102FED" w:rsidRPr="00EF0E14">
                    <w:rPr>
                      <w:rFonts w:ascii="Arial" w:hAnsi="Arial" w:cs="Arial"/>
                    </w:rPr>
                    <w:t xml:space="preserve"> 2014</w:t>
                  </w:r>
                  <w:r w:rsidR="002C128A">
                    <w:rPr>
                      <w:rFonts w:ascii="Arial" w:hAnsi="Arial" w:cs="Arial"/>
                    </w:rPr>
                    <w:t xml:space="preserve"> </w:t>
                  </w:r>
                </w:p>
                <w:p w:rsidR="00DB11A7" w:rsidRPr="00EF0E14" w:rsidRDefault="00DB11A7" w:rsidP="008923E8">
                  <w:pPr>
                    <w:pStyle w:val="Default"/>
                    <w:ind w:right="-9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:rsidR="006C74AF" w:rsidRPr="00EF0E14" w:rsidRDefault="006C74AF" w:rsidP="008923E8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54BDF" w:rsidRDefault="002F3883" w:rsidP="008915BD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Central African Republic</w:t>
            </w:r>
          </w:p>
          <w:p w:rsidR="008915BD" w:rsidRDefault="008915BD" w:rsidP="00655054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3883">
              <w:rPr>
                <w:rFonts w:ascii="Arial" w:hAnsi="Arial" w:cs="Arial"/>
                <w:b/>
                <w:sz w:val="24"/>
                <w:szCs w:val="24"/>
              </w:rPr>
              <w:t>Introduction</w:t>
            </w:r>
          </w:p>
          <w:p w:rsidR="002F3883" w:rsidRP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883" w:rsidRPr="002F3883" w:rsidRDefault="002F3883" w:rsidP="002F38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Council Regulation (EU) 224/2014 (“the Regulation”) imposing financial sanctions</w:t>
            </w:r>
          </w:p>
          <w:p w:rsidR="002F3883" w:rsidRPr="002F3883" w:rsidRDefault="002F3883" w:rsidP="002F3883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3883">
              <w:rPr>
                <w:rFonts w:ascii="Arial" w:hAnsi="Arial" w:cs="Arial"/>
                <w:sz w:val="24"/>
                <w:szCs w:val="24"/>
              </w:rPr>
              <w:t>against</w:t>
            </w:r>
            <w:proofErr w:type="gramEnd"/>
            <w:r w:rsidRPr="002F3883">
              <w:rPr>
                <w:rFonts w:ascii="Arial" w:hAnsi="Arial" w:cs="Arial"/>
                <w:sz w:val="24"/>
                <w:szCs w:val="24"/>
              </w:rPr>
              <w:t xml:space="preserve"> the Central African Republic has been amended to include additional identifying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3">
              <w:rPr>
                <w:rFonts w:ascii="Arial" w:hAnsi="Arial" w:cs="Arial"/>
                <w:sz w:val="24"/>
                <w:szCs w:val="24"/>
              </w:rPr>
              <w:t>information for the three persons listed in the Annex to this Notice.</w:t>
            </w:r>
          </w:p>
          <w:p w:rsidR="002F3883" w:rsidRP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3883">
              <w:rPr>
                <w:rFonts w:ascii="Arial" w:hAnsi="Arial" w:cs="Arial"/>
                <w:b/>
                <w:sz w:val="24"/>
                <w:szCs w:val="24"/>
              </w:rPr>
              <w:t>Notice summary (Full details are provided in the Annex to this Notice)</w:t>
            </w:r>
          </w:p>
          <w:p w:rsidR="002F3883" w:rsidRP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883" w:rsidRDefault="002F3883" w:rsidP="002F38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The following entries have been amended and are still subject to an asset freeze:</w:t>
            </w:r>
          </w:p>
          <w:p w:rsidR="002F3883" w:rsidRPr="002F3883" w:rsidRDefault="002F3883" w:rsidP="002F3883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2F3883" w:rsidRDefault="002F3883" w:rsidP="002F388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1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BOZIZE, Francois, </w:t>
            </w: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Yangouvonda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 xml:space="preserve"> (Group ID: 12998)</w:t>
            </w:r>
          </w:p>
          <w:p w:rsidR="002F3883" w:rsidRPr="002F3883" w:rsidRDefault="002F3883" w:rsidP="002F388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1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ADAM, </w:t>
            </w: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Nourredine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 xml:space="preserve"> (Group ID: 12999)</w:t>
            </w:r>
          </w:p>
          <w:p w:rsidR="002F3883" w:rsidRDefault="002F3883" w:rsidP="002F388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1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YAKETE, Levy (Group ID: 13000)</w:t>
            </w:r>
          </w:p>
          <w:p w:rsidR="002F3883" w:rsidRPr="002F3883" w:rsidRDefault="002F3883" w:rsidP="002F3883">
            <w:pPr>
              <w:pStyle w:val="ListParagraph"/>
              <w:spacing w:after="0" w:line="240" w:lineRule="auto"/>
              <w:ind w:left="1170"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3883">
              <w:rPr>
                <w:rFonts w:ascii="Arial" w:hAnsi="Arial" w:cs="Arial"/>
                <w:b/>
                <w:sz w:val="24"/>
                <w:szCs w:val="24"/>
              </w:rPr>
              <w:t>What you must do</w:t>
            </w:r>
          </w:p>
          <w:p w:rsidR="002F3883" w:rsidRP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Default="002F3883" w:rsidP="002F38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You must:</w:t>
            </w:r>
          </w:p>
          <w:p w:rsidR="002F3883" w:rsidRPr="002F3883" w:rsidRDefault="002F3883" w:rsidP="002F3883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Default="002F3883" w:rsidP="002F388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6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check whether you maintain any accounts or hold any funds or economic resources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3">
              <w:rPr>
                <w:rFonts w:ascii="Arial" w:hAnsi="Arial" w:cs="Arial"/>
                <w:sz w:val="24"/>
                <w:szCs w:val="24"/>
              </w:rPr>
              <w:t>for the persons set out in the Annex to this Notice;</w:t>
            </w:r>
          </w:p>
          <w:p w:rsidR="002F3883" w:rsidRPr="002F3883" w:rsidRDefault="002F3883" w:rsidP="002F3883">
            <w:pPr>
              <w:pStyle w:val="ListParagraph"/>
              <w:spacing w:after="0" w:line="240" w:lineRule="auto"/>
              <w:ind w:left="1260"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Default="002F3883" w:rsidP="002F388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6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freeze such accounts, and other funds or assets;</w:t>
            </w:r>
          </w:p>
          <w:p w:rsidR="002F3883" w:rsidRP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2F3883" w:rsidRDefault="002F3883" w:rsidP="002F388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6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refrain from dealing with the funds or assets or making them available to such</w:t>
            </w:r>
          </w:p>
          <w:p w:rsidR="002F3883" w:rsidRDefault="002F3883" w:rsidP="002F3883">
            <w:pPr>
              <w:pStyle w:val="ListParagraph"/>
              <w:spacing w:after="0" w:line="240" w:lineRule="auto"/>
              <w:ind w:left="126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persons unless licensed by the Treasury;</w:t>
            </w:r>
          </w:p>
          <w:p w:rsidR="002F3883" w:rsidRPr="002F3883" w:rsidRDefault="002F3883" w:rsidP="002F3883">
            <w:pPr>
              <w:pStyle w:val="ListParagraph"/>
              <w:spacing w:after="0" w:line="240" w:lineRule="auto"/>
              <w:ind w:left="1260"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Default="002F3883" w:rsidP="002F388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6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report any findings to the Treasury, together </w:t>
            </w:r>
            <w:r>
              <w:rPr>
                <w:rFonts w:ascii="Arial" w:hAnsi="Arial" w:cs="Arial"/>
                <w:sz w:val="24"/>
                <w:szCs w:val="24"/>
              </w:rPr>
              <w:t xml:space="preserve">with any additional information </w:t>
            </w:r>
            <w:r w:rsidRPr="002F3883">
              <w:rPr>
                <w:rFonts w:ascii="Arial" w:hAnsi="Arial" w:cs="Arial"/>
                <w:sz w:val="24"/>
                <w:szCs w:val="24"/>
              </w:rPr>
              <w:t>that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3">
              <w:rPr>
                <w:rFonts w:ascii="Arial" w:hAnsi="Arial" w:cs="Arial"/>
                <w:sz w:val="24"/>
                <w:szCs w:val="24"/>
              </w:rPr>
              <w:t xml:space="preserve">would facilitate </w:t>
            </w:r>
            <w:r>
              <w:rPr>
                <w:rFonts w:ascii="Arial" w:hAnsi="Arial" w:cs="Arial"/>
                <w:sz w:val="24"/>
                <w:szCs w:val="24"/>
              </w:rPr>
              <w:t>compliance with the Regulation;</w:t>
            </w:r>
          </w:p>
          <w:p w:rsidR="002F3883" w:rsidRPr="002F3883" w:rsidRDefault="002F3883" w:rsidP="002F3883">
            <w:pPr>
              <w:pStyle w:val="ListParagraph"/>
              <w:spacing w:after="0" w:line="240" w:lineRule="auto"/>
              <w:ind w:left="1260"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2F3883" w:rsidRDefault="002F3883" w:rsidP="002F388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260" w:right="-90" w:hanging="27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3883">
              <w:rPr>
                <w:rFonts w:ascii="Arial" w:hAnsi="Arial" w:cs="Arial"/>
                <w:sz w:val="24"/>
                <w:szCs w:val="24"/>
              </w:rPr>
              <w:t>provide</w:t>
            </w:r>
            <w:proofErr w:type="gramEnd"/>
            <w:r w:rsidRPr="002F3883">
              <w:rPr>
                <w:rFonts w:ascii="Arial" w:hAnsi="Arial" w:cs="Arial"/>
                <w:sz w:val="24"/>
                <w:szCs w:val="24"/>
              </w:rPr>
              <w:t xml:space="preserve"> any information concerning the frozen assets of designated persons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3">
              <w:rPr>
                <w:rFonts w:ascii="Arial" w:hAnsi="Arial" w:cs="Arial"/>
                <w:sz w:val="24"/>
                <w:szCs w:val="24"/>
              </w:rPr>
              <w:t>the Treasury may request. Information reported to the Treasury may be passed 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3">
              <w:rPr>
                <w:rFonts w:ascii="Arial" w:hAnsi="Arial" w:cs="Arial"/>
                <w:sz w:val="24"/>
                <w:szCs w:val="24"/>
              </w:rPr>
              <w:t>to other regulatory authorities or law enforcement;</w:t>
            </w:r>
          </w:p>
          <w:p w:rsidR="002F3883" w:rsidRP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2F3883" w:rsidRDefault="002F3883" w:rsidP="002F38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Where a relevant institution has </w:t>
            </w:r>
            <w:r w:rsidRPr="00851E4F">
              <w:rPr>
                <w:rFonts w:ascii="Arial" w:hAnsi="Arial" w:cs="Arial"/>
                <w:sz w:val="24"/>
                <w:szCs w:val="24"/>
                <w:u w:val="single"/>
              </w:rPr>
              <w:t>already reported</w:t>
            </w:r>
            <w:r w:rsidRPr="002F3883">
              <w:rPr>
                <w:rFonts w:ascii="Arial" w:hAnsi="Arial" w:cs="Arial"/>
                <w:sz w:val="24"/>
                <w:szCs w:val="24"/>
              </w:rPr>
              <w:t xml:space="preserve"> details of accounts, other funds 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3">
              <w:rPr>
                <w:rFonts w:ascii="Arial" w:hAnsi="Arial" w:cs="Arial"/>
                <w:sz w:val="24"/>
                <w:szCs w:val="24"/>
              </w:rPr>
              <w:t xml:space="preserve">economic resources held frozen for designated persons, </w:t>
            </w:r>
            <w:r w:rsidRPr="00851E4F">
              <w:rPr>
                <w:rFonts w:ascii="Arial" w:hAnsi="Arial" w:cs="Arial"/>
                <w:sz w:val="24"/>
                <w:szCs w:val="24"/>
                <w:u w:val="single"/>
              </w:rPr>
              <w:t>they are not required to report these details again</w:t>
            </w:r>
            <w:r w:rsidRPr="002F388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3883" w:rsidRP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2F3883" w:rsidRDefault="002F3883" w:rsidP="002F388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Failure to comply with financial sanctions legislation or to seek to circumvent its</w:t>
            </w:r>
          </w:p>
          <w:p w:rsidR="002F3883" w:rsidRPr="002F3883" w:rsidRDefault="002F3883" w:rsidP="002F3883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3883">
              <w:rPr>
                <w:rFonts w:ascii="Arial" w:hAnsi="Arial" w:cs="Arial"/>
                <w:sz w:val="24"/>
                <w:szCs w:val="24"/>
              </w:rPr>
              <w:lastRenderedPageBreak/>
              <w:t>provisions</w:t>
            </w:r>
            <w:proofErr w:type="gramEnd"/>
            <w:r w:rsidRPr="002F3883">
              <w:rPr>
                <w:rFonts w:ascii="Arial" w:hAnsi="Arial" w:cs="Arial"/>
                <w:sz w:val="24"/>
                <w:szCs w:val="24"/>
              </w:rPr>
              <w:t xml:space="preserve"> is a criminal offence.</w:t>
            </w:r>
          </w:p>
          <w:p w:rsidR="002F3883" w:rsidRP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F3883">
              <w:rPr>
                <w:rFonts w:ascii="Arial" w:hAnsi="Arial" w:cs="Arial"/>
                <w:b/>
                <w:sz w:val="24"/>
                <w:szCs w:val="24"/>
              </w:rPr>
              <w:t>Legislative details</w:t>
            </w:r>
          </w:p>
          <w:p w:rsidR="00851E4F" w:rsidRPr="002F3883" w:rsidRDefault="00851E4F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883" w:rsidRPr="00851E4F" w:rsidRDefault="002F3883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On 2 December 2014 Council Implementing Regulation (EU) No 1276/2014 (“the</w:t>
            </w:r>
            <w:r w:rsid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Amending Regulation”) was published in the Official Journal of the European Union (O.J.</w:t>
            </w:r>
            <w:r w:rsid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L 346, 02.12.2014, p.19) by the Council of the European Union.</w:t>
            </w:r>
          </w:p>
          <w:p w:rsidR="00851E4F" w:rsidRPr="002F3883" w:rsidRDefault="00851E4F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The Amending Regulation amended Annex I to the Regulation with effect from 2</w:t>
            </w:r>
          </w:p>
          <w:p w:rsidR="002F3883" w:rsidRPr="00851E4F" w:rsidRDefault="002F3883" w:rsidP="00851E4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December 2014</w:t>
            </w:r>
          </w:p>
          <w:p w:rsidR="00851E4F" w:rsidRPr="002F3883" w:rsidRDefault="00851E4F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The Amending Regulation reflects the decision made on 4 November 2014 by the United</w:t>
            </w:r>
            <w:r w:rsidR="00851E4F" w:rsidRP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Nations Security Council (UNSC) Committee established pursuant to Resolution 2127</w:t>
            </w:r>
            <w:r w:rsidR="00851E4F" w:rsidRP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(2013) to update the information regarding three persons on the list of persons and</w:t>
            </w:r>
            <w:r w:rsid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entities subject to the measures imposed by paragraphs 30 and 32 of the UNSCR 2134</w:t>
            </w:r>
            <w:r w:rsid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(2014).</w:t>
            </w:r>
          </w:p>
          <w:p w:rsidR="00851E4F" w:rsidRDefault="00851E4F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851E4F">
              <w:rPr>
                <w:rFonts w:ascii="Arial" w:hAnsi="Arial" w:cs="Arial"/>
                <w:b/>
                <w:sz w:val="24"/>
                <w:szCs w:val="24"/>
              </w:rPr>
              <w:t>Further Information</w:t>
            </w:r>
          </w:p>
          <w:p w:rsidR="00851E4F" w:rsidRPr="002F3883" w:rsidRDefault="00851E4F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A copy of the Amending Regulation can be obtained from the website of the Official</w:t>
            </w:r>
            <w:r w:rsidR="00851E4F">
              <w:rPr>
                <w:rFonts w:ascii="Arial" w:hAnsi="Arial" w:cs="Arial"/>
                <w:sz w:val="24"/>
                <w:szCs w:val="24"/>
              </w:rPr>
              <w:t xml:space="preserve"> J</w:t>
            </w:r>
            <w:r w:rsidRPr="00851E4F">
              <w:rPr>
                <w:rFonts w:ascii="Arial" w:hAnsi="Arial" w:cs="Arial"/>
                <w:sz w:val="24"/>
                <w:szCs w:val="24"/>
              </w:rPr>
              <w:t>ournal of the European Union:</w:t>
            </w:r>
          </w:p>
          <w:p w:rsidR="002F3883" w:rsidRPr="00851E4F" w:rsidRDefault="00851E4F" w:rsidP="00851E4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http://eur-lex.europa.eu/legal-content/EN/TXT/PDF/?uri=OJ:L:2014:346:FULL&amp;from=EN</w:t>
              </w:r>
            </w:hyperlink>
          </w:p>
          <w:p w:rsidR="00851E4F" w:rsidRPr="002F3883" w:rsidRDefault="00851E4F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51E4F" w:rsidRDefault="002F3883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Copies of relevant Releases, certain EU Regulations, UNSC Resolutions and UK legislation</w:t>
            </w:r>
            <w:r w:rsidR="00851E4F" w:rsidRP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can be obtained from the Central African Republic Financial Sanctions page accessible</w:t>
            </w:r>
            <w:r w:rsidR="00851E4F" w:rsidRP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via the GOV.UK website:</w:t>
            </w:r>
          </w:p>
          <w:p w:rsidR="002F3883" w:rsidRPr="00851E4F" w:rsidRDefault="00851E4F" w:rsidP="00851E4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https://www.gov.uk/government/collections/financialsanctions-regime-specific-consolidated-lists-and-releases</w:t>
              </w:r>
            </w:hyperlink>
            <w:r w:rsidRPr="00851E4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51E4F" w:rsidRPr="00851E4F" w:rsidRDefault="00851E4F" w:rsidP="00851E4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Further details on the UN measures in respect of Central African Republic can be found</w:t>
            </w:r>
            <w:r w:rsidR="00851E4F" w:rsidRP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 xml:space="preserve">on the relevant UN Sanctions Committee webpage: </w:t>
            </w:r>
            <w:hyperlink r:id="rId10" w:history="1">
              <w:r w:rsidR="00851E4F" w:rsidRPr="00851E4F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http://www.un.org/sc/committees</w:t>
              </w:r>
            </w:hyperlink>
            <w:r w:rsidRPr="00851E4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51E4F" w:rsidRPr="00851E4F" w:rsidRDefault="00851E4F" w:rsidP="00851E4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 xml:space="preserve">Please note there </w:t>
            </w:r>
            <w:proofErr w:type="gramStart"/>
            <w:r w:rsidRPr="00851E4F">
              <w:rPr>
                <w:rFonts w:ascii="Arial" w:hAnsi="Arial" w:cs="Arial"/>
                <w:sz w:val="24"/>
                <w:szCs w:val="24"/>
              </w:rPr>
              <w:t>are also import</w:t>
            </w:r>
            <w:proofErr w:type="gramEnd"/>
            <w:r w:rsidRPr="00851E4F">
              <w:rPr>
                <w:rFonts w:ascii="Arial" w:hAnsi="Arial" w:cs="Arial"/>
                <w:sz w:val="24"/>
                <w:szCs w:val="24"/>
              </w:rPr>
              <w:t xml:space="preserve"> and export restrictions on Central African Republic that</w:t>
            </w:r>
            <w:r w:rsidR="00851E4F" w:rsidRP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can also involve restrictions on insurance, reinsurance, etc. Further guidance on export</w:t>
            </w:r>
            <w:r w:rsidR="00851E4F" w:rsidRP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and trade sanctions is available from the GOV.UK website:</w:t>
            </w:r>
          </w:p>
          <w:p w:rsidR="00851E4F" w:rsidRPr="00851E4F" w:rsidRDefault="00851E4F" w:rsidP="00851E4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851E4F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https://www.gov.uk/sanctions-embargoes-and-restrictions</w:t>
              </w:r>
            </w:hyperlink>
            <w:r w:rsidR="002F3883" w:rsidRPr="00851E4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51E4F" w:rsidRDefault="00851E4F" w:rsidP="002F3883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It should be noted that the Annex to this Notice and the Consolidated List include certain</w:t>
            </w:r>
            <w:r w:rsidR="00851E4F" w:rsidRP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background information provided by the UN Sanctions Committee that is not included</w:t>
            </w:r>
            <w:r w:rsidR="00851E4F" w:rsidRP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sz w:val="24"/>
                <w:szCs w:val="24"/>
              </w:rPr>
              <w:t>in Annex I to the Regulation.</w:t>
            </w:r>
          </w:p>
          <w:p w:rsidR="00851E4F" w:rsidRPr="00851E4F" w:rsidRDefault="00851E4F" w:rsidP="00851E4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Please see the FAQs for more information around financial sanctions:</w:t>
            </w:r>
          </w:p>
          <w:p w:rsidR="00851E4F" w:rsidRDefault="00851E4F" w:rsidP="00851E4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8F149B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https://www.gov.uk/government/publications/financial-sanctions-faqs</w:t>
              </w:r>
            </w:hyperlink>
          </w:p>
          <w:p w:rsidR="00851E4F" w:rsidRPr="00851E4F" w:rsidRDefault="00851E4F" w:rsidP="00851E4F">
            <w:pPr>
              <w:pStyle w:val="ListParagraph"/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6717FF" w:rsidRDefault="00C23E37" w:rsidP="006717F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717FF">
              <w:rPr>
                <w:rFonts w:ascii="Arial" w:hAnsi="Arial" w:cs="Arial"/>
                <w:b/>
                <w:sz w:val="24"/>
                <w:szCs w:val="24"/>
              </w:rPr>
              <w:t>Enquiries/Contact Details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E41B37" w:rsidRDefault="00C23E37" w:rsidP="00851E4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1B37">
              <w:rPr>
                <w:rFonts w:ascii="Arial" w:hAnsi="Arial" w:cs="Arial"/>
                <w:sz w:val="24"/>
                <w:szCs w:val="24"/>
              </w:rPr>
              <w:t>Non-media enquiries should be addressed to: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C23E37" w:rsidRDefault="00C23E37" w:rsidP="00C23E37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lastRenderedPageBreak/>
              <w:t>The Commissioner</w:t>
            </w:r>
          </w:p>
          <w:p w:rsidR="00C23E37" w:rsidRPr="00C23E37" w:rsidRDefault="00C23E37" w:rsidP="00C23E37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>Financial Services Commission</w:t>
            </w:r>
          </w:p>
          <w:p w:rsidR="00C23E37" w:rsidRPr="00C23E37" w:rsidRDefault="00C23E37" w:rsidP="00C23E37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23E37">
              <w:rPr>
                <w:rFonts w:ascii="Arial" w:hAnsi="Arial" w:cs="Arial"/>
                <w:sz w:val="24"/>
                <w:szCs w:val="24"/>
              </w:rPr>
              <w:t>Brades</w:t>
            </w:r>
            <w:proofErr w:type="spellEnd"/>
          </w:p>
          <w:p w:rsidR="00C23E37" w:rsidRPr="00C23E37" w:rsidRDefault="00C23E37" w:rsidP="00C23E37">
            <w:pPr>
              <w:spacing w:after="0" w:line="240" w:lineRule="auto"/>
              <w:ind w:left="702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>Montserrat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23E37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E41B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1B37">
              <w:rPr>
                <w:rFonts w:ascii="Arial" w:hAnsi="Arial" w:cs="Arial"/>
                <w:b/>
                <w:sz w:val="24"/>
                <w:szCs w:val="24"/>
              </w:rPr>
              <w:t>Financial Services Commission</w:t>
            </w:r>
          </w:p>
          <w:p w:rsidR="00C23E37" w:rsidRPr="00E41B37" w:rsidRDefault="007055C9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D70CE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>/12</w:t>
            </w:r>
            <w:r w:rsidR="00C23E37" w:rsidRPr="00E41B37">
              <w:rPr>
                <w:rFonts w:ascii="Arial" w:hAnsi="Arial" w:cs="Arial"/>
                <w:b/>
                <w:sz w:val="24"/>
                <w:szCs w:val="24"/>
              </w:rPr>
              <w:t>/2014</w:t>
            </w: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C23E37" w:rsidRDefault="00C23E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41B37" w:rsidRDefault="00E41B37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51E4F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883" w:rsidRPr="002F3883" w:rsidRDefault="002F3883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883">
              <w:rPr>
                <w:rFonts w:ascii="Arial" w:hAnsi="Arial" w:cs="Arial"/>
                <w:b/>
                <w:sz w:val="24"/>
                <w:szCs w:val="24"/>
              </w:rPr>
              <w:lastRenderedPageBreak/>
              <w:t>ANNEX TO NOTICE</w:t>
            </w:r>
          </w:p>
          <w:p w:rsidR="002F3883" w:rsidRPr="002F3883" w:rsidRDefault="002F3883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883">
              <w:rPr>
                <w:rFonts w:ascii="Arial" w:hAnsi="Arial" w:cs="Arial"/>
                <w:b/>
                <w:sz w:val="24"/>
                <w:szCs w:val="24"/>
              </w:rPr>
              <w:t>FINANCIAL SANCTIONS: CENTRAL AFRICAN REPUBLIC</w:t>
            </w:r>
          </w:p>
          <w:p w:rsidR="002F3883" w:rsidRPr="002F3883" w:rsidRDefault="002F3883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883">
              <w:rPr>
                <w:rFonts w:ascii="Arial" w:hAnsi="Arial" w:cs="Arial"/>
                <w:b/>
                <w:sz w:val="24"/>
                <w:szCs w:val="24"/>
              </w:rPr>
              <w:t>COUNCIL IMPLEMENTING REGULATION (EU) No 1276/2014</w:t>
            </w:r>
          </w:p>
          <w:p w:rsidR="002F3883" w:rsidRDefault="002F3883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3883">
              <w:rPr>
                <w:rFonts w:ascii="Arial" w:hAnsi="Arial" w:cs="Arial"/>
                <w:b/>
                <w:sz w:val="24"/>
                <w:szCs w:val="24"/>
              </w:rPr>
              <w:t>AMENDING ANNEX I TO COUNCIL REGULATION (EU) No 224/2014</w:t>
            </w:r>
          </w:p>
          <w:p w:rsidR="00851E4F" w:rsidRPr="002F3883" w:rsidRDefault="00851E4F" w:rsidP="002F3883">
            <w:pPr>
              <w:spacing w:after="0" w:line="480" w:lineRule="auto"/>
              <w:ind w:right="-9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F3883" w:rsidRPr="00851E4F" w:rsidRDefault="002F3883" w:rsidP="002F3883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51E4F">
              <w:rPr>
                <w:rFonts w:ascii="Arial" w:hAnsi="Arial" w:cs="Arial"/>
                <w:b/>
                <w:sz w:val="24"/>
                <w:szCs w:val="24"/>
                <w:u w:val="single"/>
              </w:rPr>
              <w:t>AMENDMENTS</w:t>
            </w:r>
          </w:p>
          <w:p w:rsidR="00851E4F" w:rsidRPr="002F3883" w:rsidRDefault="00851E4F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</w:p>
          <w:p w:rsidR="002F3883" w:rsidRDefault="002F3883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Deleted information appears in strikethrough. Additional information appears in italics and</w:t>
            </w:r>
            <w:r w:rsidR="00851E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F3883">
              <w:rPr>
                <w:rFonts w:ascii="Arial" w:hAnsi="Arial" w:cs="Arial"/>
                <w:sz w:val="24"/>
                <w:szCs w:val="24"/>
              </w:rPr>
              <w:t>is underlined.</w:t>
            </w:r>
          </w:p>
          <w:p w:rsidR="00851E4F" w:rsidRPr="002F3883" w:rsidRDefault="00851E4F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2F3883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51E4F">
              <w:rPr>
                <w:rFonts w:ascii="Arial" w:hAnsi="Arial" w:cs="Arial"/>
                <w:b/>
                <w:sz w:val="24"/>
                <w:szCs w:val="24"/>
                <w:u w:val="single"/>
              </w:rPr>
              <w:t>Individuals</w:t>
            </w:r>
          </w:p>
          <w:p w:rsidR="00851E4F" w:rsidRPr="002F3883" w:rsidRDefault="00851E4F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</w:p>
          <w:p w:rsidR="002F3883" w:rsidRPr="002F3883" w:rsidRDefault="002F3883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851E4F">
              <w:rPr>
                <w:rFonts w:ascii="Arial" w:hAnsi="Arial" w:cs="Arial"/>
                <w:b/>
                <w:sz w:val="24"/>
                <w:szCs w:val="24"/>
              </w:rPr>
              <w:t xml:space="preserve">BOZIZE, Francois, </w:t>
            </w:r>
            <w:proofErr w:type="spellStart"/>
            <w:r w:rsidRPr="00851E4F">
              <w:rPr>
                <w:rFonts w:ascii="Arial" w:hAnsi="Arial" w:cs="Arial"/>
                <w:b/>
                <w:sz w:val="24"/>
                <w:szCs w:val="24"/>
              </w:rPr>
              <w:t>Yangouvonda</w:t>
            </w:r>
            <w:proofErr w:type="spellEnd"/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DOB: 14/10/1946.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POB: </w:t>
            </w: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Mouila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>, Gabon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Address: </w:t>
            </w:r>
            <w:r w:rsidRPr="00851E4F">
              <w:rPr>
                <w:rFonts w:ascii="Arial" w:hAnsi="Arial" w:cs="Arial"/>
                <w:i/>
                <w:sz w:val="24"/>
                <w:szCs w:val="24"/>
                <w:u w:val="single"/>
              </w:rPr>
              <w:t>Uganda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 xml:space="preserve">: BOZIZE, </w:t>
            </w: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Yangouvonda</w:t>
            </w:r>
            <w:proofErr w:type="spellEnd"/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Nationality: </w:t>
            </w:r>
            <w:r w:rsidRPr="00851E4F">
              <w:rPr>
                <w:rFonts w:ascii="Arial" w:hAnsi="Arial" w:cs="Arial"/>
                <w:strike/>
                <w:sz w:val="24"/>
                <w:szCs w:val="24"/>
              </w:rPr>
              <w:t>Gabonese</w:t>
            </w:r>
            <w:r w:rsidRPr="002F3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i/>
                <w:sz w:val="24"/>
                <w:szCs w:val="24"/>
                <w:u w:val="single"/>
              </w:rPr>
              <w:t>Central African Republic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Other Information: </w:t>
            </w:r>
            <w:r w:rsidRPr="00851E4F">
              <w:rPr>
                <w:rFonts w:ascii="Arial" w:hAnsi="Arial" w:cs="Arial"/>
                <w:strike/>
                <w:sz w:val="24"/>
                <w:szCs w:val="24"/>
              </w:rPr>
              <w:t>Son of</w:t>
            </w:r>
            <w:r w:rsidRPr="002F3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51E4F">
              <w:rPr>
                <w:rFonts w:ascii="Arial" w:hAnsi="Arial" w:cs="Arial"/>
                <w:i/>
                <w:sz w:val="24"/>
                <w:szCs w:val="24"/>
                <w:u w:val="single"/>
              </w:rPr>
              <w:t>Mother’s name is</w:t>
            </w:r>
            <w:r w:rsidRPr="002F3883">
              <w:rPr>
                <w:rFonts w:ascii="Arial" w:hAnsi="Arial" w:cs="Arial"/>
                <w:sz w:val="24"/>
                <w:szCs w:val="24"/>
              </w:rPr>
              <w:t xml:space="preserve"> Martine </w:t>
            </w: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Kofio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Group ID: 12998.</w:t>
            </w:r>
          </w:p>
          <w:p w:rsidR="00851E4F" w:rsidRDefault="00851E4F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</w:p>
          <w:p w:rsidR="002F3883" w:rsidRPr="00851E4F" w:rsidRDefault="002F3883" w:rsidP="002F3883">
            <w:pPr>
              <w:spacing w:after="0" w:line="240" w:lineRule="auto"/>
              <w:ind w:right="-90"/>
              <w:rPr>
                <w:rFonts w:ascii="Arial" w:hAnsi="Arial" w:cs="Arial"/>
                <w:b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Pr="00851E4F">
              <w:rPr>
                <w:rFonts w:ascii="Arial" w:hAnsi="Arial" w:cs="Arial"/>
                <w:b/>
                <w:sz w:val="24"/>
                <w:szCs w:val="24"/>
              </w:rPr>
              <w:t xml:space="preserve">ADAM, </w:t>
            </w:r>
            <w:proofErr w:type="spellStart"/>
            <w:r w:rsidRPr="00851E4F">
              <w:rPr>
                <w:rFonts w:ascii="Arial" w:hAnsi="Arial" w:cs="Arial"/>
                <w:b/>
                <w:sz w:val="24"/>
                <w:szCs w:val="24"/>
              </w:rPr>
              <w:t>Nourredine</w:t>
            </w:r>
            <w:proofErr w:type="spellEnd"/>
          </w:p>
          <w:p w:rsidR="002F3883" w:rsidRPr="002F3883" w:rsidRDefault="00514B26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>DOB: (1) --/--/1970.</w:t>
            </w:r>
          </w:p>
          <w:p w:rsidR="002F3883" w:rsidRPr="002F3883" w:rsidRDefault="00514B26" w:rsidP="00851E4F">
            <w:pPr>
              <w:spacing w:after="0" w:line="240" w:lineRule="auto"/>
              <w:ind w:left="900" w:right="-90" w:hanging="6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>(2) --/--/1969.</w:t>
            </w:r>
          </w:p>
          <w:p w:rsidR="002F3883" w:rsidRPr="002F3883" w:rsidRDefault="00514B26" w:rsidP="00851E4F">
            <w:pPr>
              <w:spacing w:after="0" w:line="240" w:lineRule="auto"/>
              <w:ind w:left="900" w:right="-90" w:hanging="6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>(3) --/--/1971.</w:t>
            </w:r>
          </w:p>
          <w:p w:rsidR="002F3883" w:rsidRPr="002F3883" w:rsidRDefault="003E6047" w:rsidP="00851E4F">
            <w:pPr>
              <w:spacing w:after="0" w:line="240" w:lineRule="auto"/>
              <w:ind w:left="900" w:right="-90" w:hanging="6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 xml:space="preserve">(4) </w:t>
            </w:r>
            <w:r w:rsidR="002F3883" w:rsidRPr="003E6047">
              <w:rPr>
                <w:rFonts w:ascii="Arial" w:hAnsi="Arial" w:cs="Arial"/>
                <w:sz w:val="24"/>
                <w:szCs w:val="24"/>
                <w:u w:val="single"/>
              </w:rPr>
              <w:t>01/01/1970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3883" w:rsidRPr="002F3883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POB: </w:t>
            </w: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Ndele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>, Central African Republic</w:t>
            </w:r>
          </w:p>
          <w:p w:rsidR="002F3883" w:rsidRPr="003E6047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Position: </w:t>
            </w: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a) General, b) Minister for Security, c) Director General of the</w:t>
            </w:r>
          </w:p>
          <w:p w:rsidR="002F3883" w:rsidRPr="003E6047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Extraordinary Committee for the Defence of Democratic Achievements</w:t>
            </w:r>
          </w:p>
          <w:p w:rsidR="002F3883" w:rsidRPr="002F3883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 xml:space="preserve">: (1) </w:t>
            </w: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ADAM, </w:t>
            </w:r>
            <w:proofErr w:type="spell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Mahamat</w:t>
            </w:r>
            <w:proofErr w:type="spellEnd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Nouradine</w:t>
            </w:r>
            <w:proofErr w:type="spellEnd"/>
          </w:p>
          <w:p w:rsidR="002F3883" w:rsidRPr="002F3883" w:rsidRDefault="003E6047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 xml:space="preserve">(2) ADAM, </w:t>
            </w:r>
            <w:proofErr w:type="spellStart"/>
            <w:r w:rsidR="002F3883" w:rsidRPr="002F3883">
              <w:rPr>
                <w:rFonts w:ascii="Arial" w:hAnsi="Arial" w:cs="Arial"/>
                <w:sz w:val="24"/>
                <w:szCs w:val="24"/>
              </w:rPr>
              <w:t>Nourreddine</w:t>
            </w:r>
            <w:proofErr w:type="spellEnd"/>
          </w:p>
          <w:p w:rsidR="002F3883" w:rsidRPr="002F3883" w:rsidRDefault="003E6047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 xml:space="preserve">(3) ADAM, </w:t>
            </w:r>
            <w:proofErr w:type="spellStart"/>
            <w:r w:rsidR="002F3883" w:rsidRPr="002F3883">
              <w:rPr>
                <w:rFonts w:ascii="Arial" w:hAnsi="Arial" w:cs="Arial"/>
                <w:sz w:val="24"/>
                <w:szCs w:val="24"/>
              </w:rPr>
              <w:t>Nourreldine</w:t>
            </w:r>
            <w:proofErr w:type="spellEnd"/>
          </w:p>
          <w:p w:rsidR="002F3883" w:rsidRPr="002F3883" w:rsidRDefault="003E6047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 xml:space="preserve">(4) ADAM, </w:t>
            </w:r>
            <w:proofErr w:type="spellStart"/>
            <w:r w:rsidR="002F3883" w:rsidRPr="002F3883">
              <w:rPr>
                <w:rFonts w:ascii="Arial" w:hAnsi="Arial" w:cs="Arial"/>
                <w:sz w:val="24"/>
                <w:szCs w:val="24"/>
              </w:rPr>
              <w:t>Nureldine</w:t>
            </w:r>
            <w:proofErr w:type="spellEnd"/>
          </w:p>
          <w:p w:rsidR="002F3883" w:rsidRPr="002F3883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Nationality: </w:t>
            </w: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Central African Republic</w:t>
            </w:r>
          </w:p>
          <w:p w:rsidR="002F3883" w:rsidRPr="002F3883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Passport No.: </w:t>
            </w: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D00001184</w:t>
            </w:r>
          </w:p>
          <w:p w:rsidR="002F3883" w:rsidRPr="002F3883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Address: </w:t>
            </w:r>
            <w:proofErr w:type="spell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Birao</w:t>
            </w:r>
            <w:proofErr w:type="spellEnd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, Central African Republic</w:t>
            </w:r>
          </w:p>
          <w:p w:rsidR="002F3883" w:rsidRPr="003E6047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Other Information: </w:t>
            </w:r>
            <w:proofErr w:type="spell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Noureddine</w:t>
            </w:r>
            <w:proofErr w:type="spellEnd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 is one of the original leaders of the </w:t>
            </w:r>
            <w:proofErr w:type="spell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Seleka</w:t>
            </w:r>
            <w:proofErr w:type="spellEnd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. He has</w:t>
            </w:r>
          </w:p>
          <w:p w:rsidR="002F3883" w:rsidRPr="003E6047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been identified as both a General and the President of one of the armed rebel</w:t>
            </w:r>
          </w:p>
          <w:p w:rsidR="002F3883" w:rsidRPr="003E6047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groups of the </w:t>
            </w:r>
            <w:proofErr w:type="spell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Seleka</w:t>
            </w:r>
            <w:proofErr w:type="spellEnd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, the Central PJCC, a group formally known as the Convention</w:t>
            </w:r>
          </w:p>
          <w:p w:rsidR="002F3883" w:rsidRPr="003E6047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proofErr w:type="gram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of</w:t>
            </w:r>
            <w:proofErr w:type="gramEnd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 Patriots for Justice and Peace and whose acronym </w:t>
            </w:r>
            <w:r w:rsidR="003E6047"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is also acknowledged as CPJP. </w:t>
            </w:r>
          </w:p>
          <w:p w:rsidR="002F3883" w:rsidRPr="003E6047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He is also a former head of the “Fundamental” splinter group of the Convention of</w:t>
            </w:r>
          </w:p>
          <w:p w:rsidR="002F3883" w:rsidRPr="003E6047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Patriots for Justice and Peace (CPJP/F).</w:t>
            </w:r>
          </w:p>
          <w:p w:rsidR="002F3883" w:rsidRPr="002F3883" w:rsidRDefault="002F3883" w:rsidP="003E6047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Group ID: 12999.</w:t>
            </w:r>
          </w:p>
          <w:p w:rsidR="00851E4F" w:rsidRDefault="00851E4F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</w:p>
          <w:p w:rsidR="002F3883" w:rsidRPr="002F3883" w:rsidRDefault="002F3883" w:rsidP="002F3883">
            <w:pPr>
              <w:spacing w:after="0" w:line="240" w:lineRule="auto"/>
              <w:ind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3. </w:t>
            </w:r>
            <w:r w:rsidRPr="00851E4F">
              <w:rPr>
                <w:rFonts w:ascii="Arial" w:hAnsi="Arial" w:cs="Arial"/>
                <w:b/>
                <w:sz w:val="24"/>
                <w:szCs w:val="24"/>
              </w:rPr>
              <w:t>YAKETE, Levy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lastRenderedPageBreak/>
              <w:t>DOB: (1) 14/08/1964.</w:t>
            </w:r>
          </w:p>
          <w:p w:rsidR="002F3883" w:rsidRPr="002F3883" w:rsidRDefault="003E6047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>(2) --/--/1965.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>POB: Bangui, Central African Republic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a.k.a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>: (1) YAKETE, Levi</w:t>
            </w:r>
          </w:p>
          <w:p w:rsidR="002F3883" w:rsidRPr="002F3883" w:rsidRDefault="003E6047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>(2) YAKITE, Levi</w:t>
            </w:r>
          </w:p>
          <w:p w:rsidR="002F3883" w:rsidRPr="002F3883" w:rsidRDefault="003E6047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2F3883" w:rsidRPr="002F3883">
              <w:rPr>
                <w:rFonts w:ascii="Arial" w:hAnsi="Arial" w:cs="Arial"/>
                <w:sz w:val="24"/>
                <w:szCs w:val="24"/>
              </w:rPr>
              <w:t xml:space="preserve">(3) </w:t>
            </w:r>
            <w:r w:rsidR="002F3883" w:rsidRPr="003E6047">
              <w:rPr>
                <w:rFonts w:ascii="Arial" w:hAnsi="Arial" w:cs="Arial"/>
                <w:strike/>
                <w:sz w:val="24"/>
                <w:szCs w:val="24"/>
              </w:rPr>
              <w:t>YAKITE, Levy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Nationality: </w:t>
            </w:r>
            <w:r w:rsidRPr="003E6047">
              <w:rPr>
                <w:rFonts w:ascii="Arial" w:hAnsi="Arial" w:cs="Arial"/>
                <w:strike/>
                <w:sz w:val="24"/>
                <w:szCs w:val="24"/>
              </w:rPr>
              <w:t>Central African Republic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Address: </w:t>
            </w:r>
            <w:r w:rsidRPr="003E6047">
              <w:rPr>
                <w:rFonts w:ascii="Arial" w:hAnsi="Arial" w:cs="Arial"/>
                <w:strike/>
                <w:sz w:val="24"/>
                <w:szCs w:val="24"/>
              </w:rPr>
              <w:t>Nantes, France</w:t>
            </w:r>
            <w:r w:rsidRPr="002F388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F3883" w:rsidRPr="003E6047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Other Information: </w:t>
            </w:r>
            <w:r w:rsidRPr="003E6047">
              <w:rPr>
                <w:rFonts w:ascii="Arial" w:hAnsi="Arial" w:cs="Arial"/>
                <w:strike/>
                <w:sz w:val="24"/>
                <w:szCs w:val="24"/>
              </w:rPr>
              <w:t>Son of</w:t>
            </w:r>
            <w:r w:rsidRPr="002F3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Father’s name is</w:t>
            </w:r>
            <w:r w:rsidRPr="002F3883">
              <w:rPr>
                <w:rFonts w:ascii="Arial" w:hAnsi="Arial" w:cs="Arial"/>
                <w:sz w:val="24"/>
                <w:szCs w:val="24"/>
              </w:rPr>
              <w:t xml:space="preserve"> Pierre </w:t>
            </w: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Yakete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mother’s name is</w:t>
            </w:r>
          </w:p>
          <w:p w:rsidR="002F3883" w:rsidRPr="003E6047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3883">
              <w:rPr>
                <w:rFonts w:ascii="Arial" w:hAnsi="Arial" w:cs="Arial"/>
                <w:sz w:val="24"/>
                <w:szCs w:val="24"/>
              </w:rPr>
              <w:t xml:space="preserve">Josephine </w:t>
            </w:r>
            <w:proofErr w:type="spellStart"/>
            <w:r w:rsidRPr="002F3883">
              <w:rPr>
                <w:rFonts w:ascii="Arial" w:hAnsi="Arial" w:cs="Arial"/>
                <w:sz w:val="24"/>
                <w:szCs w:val="24"/>
              </w:rPr>
              <w:t>Yamazon</w:t>
            </w:r>
            <w:proofErr w:type="spellEnd"/>
            <w:r w:rsidRPr="002F3883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On 17 December 2013, </w:t>
            </w:r>
            <w:proofErr w:type="spell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Yakite</w:t>
            </w:r>
            <w:proofErr w:type="spellEnd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 became the political</w:t>
            </w:r>
          </w:p>
          <w:p w:rsidR="002F3883" w:rsidRPr="003E6047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coordinator of the newly formed People's Resistance Movement for Reforming of</w:t>
            </w:r>
          </w:p>
          <w:p w:rsidR="002F3883" w:rsidRPr="002F3883" w:rsidRDefault="002F3883" w:rsidP="00851E4F">
            <w:pPr>
              <w:spacing w:after="0" w:line="240" w:lineRule="auto"/>
              <w:ind w:left="270" w:right="-9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the</w:t>
            </w:r>
            <w:proofErr w:type="gramEnd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 Central African Republic anti-</w:t>
            </w:r>
            <w:proofErr w:type="spellStart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>Balaka</w:t>
            </w:r>
            <w:proofErr w:type="spellEnd"/>
            <w:r w:rsidRPr="003E6047">
              <w:rPr>
                <w:rFonts w:ascii="Arial" w:hAnsi="Arial" w:cs="Arial"/>
                <w:sz w:val="24"/>
                <w:szCs w:val="24"/>
                <w:u w:val="single"/>
              </w:rPr>
              <w:t xml:space="preserve"> rebel group.</w:t>
            </w:r>
          </w:p>
          <w:p w:rsidR="00E216D8" w:rsidRDefault="002F3883" w:rsidP="00851E4F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1E4F">
              <w:rPr>
                <w:rFonts w:ascii="Arial" w:hAnsi="Arial" w:cs="Arial"/>
                <w:sz w:val="24"/>
                <w:szCs w:val="24"/>
              </w:rPr>
              <w:t>Group ID: 13000.</w:t>
            </w:r>
            <w:r w:rsidRPr="00851E4F">
              <w:rPr>
                <w:rFonts w:ascii="Arial" w:hAnsi="Arial" w:cs="Arial"/>
                <w:sz w:val="24"/>
                <w:szCs w:val="24"/>
              </w:rPr>
              <w:cr/>
            </w:r>
          </w:p>
          <w:p w:rsidR="003E6047" w:rsidRDefault="003E6047" w:rsidP="00851E4F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6047" w:rsidRDefault="003E6047" w:rsidP="00851E4F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E6047" w:rsidRPr="00851E4F" w:rsidRDefault="003E6047" w:rsidP="00851E4F">
            <w:pPr>
              <w:spacing w:after="0" w:line="240" w:lineRule="auto"/>
              <w:ind w:left="270" w:right="-9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3E37" w:rsidRPr="00071616" w:rsidRDefault="00071616" w:rsidP="00C23E3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71616">
              <w:rPr>
                <w:rFonts w:ascii="Arial" w:hAnsi="Arial" w:cs="Arial"/>
                <w:b/>
                <w:sz w:val="24"/>
                <w:szCs w:val="24"/>
              </w:rPr>
              <w:t>Financial Services Commission</w:t>
            </w: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2D70C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48062F">
              <w:rPr>
                <w:rFonts w:ascii="Arial" w:hAnsi="Arial" w:cs="Arial"/>
                <w:b/>
                <w:sz w:val="24"/>
                <w:szCs w:val="24"/>
              </w:rPr>
              <w:t>/12</w:t>
            </w:r>
            <w:r w:rsidR="00C23E37" w:rsidRPr="00071616">
              <w:rPr>
                <w:rFonts w:ascii="Arial" w:hAnsi="Arial" w:cs="Arial"/>
                <w:b/>
                <w:sz w:val="24"/>
                <w:szCs w:val="24"/>
              </w:rPr>
              <w:t>/2014</w:t>
            </w: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717FF" w:rsidRDefault="006717FF" w:rsidP="00C54BDF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50A57" w:rsidRPr="0012275B" w:rsidRDefault="00250A57" w:rsidP="00A25597">
            <w:pPr>
              <w:spacing w:after="0" w:line="240" w:lineRule="auto"/>
              <w:ind w:right="-9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07765" w:rsidRDefault="00E07765" w:rsidP="007C3F0D">
      <w:pPr>
        <w:spacing w:after="0" w:line="240" w:lineRule="auto"/>
        <w:ind w:right="-90"/>
        <w:jc w:val="both"/>
        <w:rPr>
          <w:rFonts w:ascii="Arial" w:hAnsi="Arial" w:cs="Arial"/>
        </w:rPr>
      </w:pPr>
    </w:p>
    <w:sectPr w:rsidR="00E07765" w:rsidSect="007C3F0D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k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39A3"/>
    <w:multiLevelType w:val="hybridMultilevel"/>
    <w:tmpl w:val="CE1A71E6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27F56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13E39"/>
    <w:multiLevelType w:val="hybridMultilevel"/>
    <w:tmpl w:val="BC34B9DC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6144"/>
    <w:multiLevelType w:val="hybridMultilevel"/>
    <w:tmpl w:val="8EEC7B66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FF3744"/>
    <w:multiLevelType w:val="hybridMultilevel"/>
    <w:tmpl w:val="69E4BC82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AEBA04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D66D1"/>
    <w:multiLevelType w:val="hybridMultilevel"/>
    <w:tmpl w:val="EFAEB0D4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27F56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B59B5"/>
    <w:multiLevelType w:val="hybridMultilevel"/>
    <w:tmpl w:val="643A64E2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01AAD"/>
    <w:multiLevelType w:val="hybridMultilevel"/>
    <w:tmpl w:val="A74ED504"/>
    <w:lvl w:ilvl="0" w:tplc="2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2520" w:hanging="360"/>
      </w:pPr>
    </w:lvl>
    <w:lvl w:ilvl="2" w:tplc="2409001B" w:tentative="1">
      <w:start w:val="1"/>
      <w:numFmt w:val="lowerRoman"/>
      <w:lvlText w:val="%3."/>
      <w:lvlJc w:val="right"/>
      <w:pPr>
        <w:ind w:left="3240" w:hanging="180"/>
      </w:pPr>
    </w:lvl>
    <w:lvl w:ilvl="3" w:tplc="2409000F" w:tentative="1">
      <w:start w:val="1"/>
      <w:numFmt w:val="decimal"/>
      <w:lvlText w:val="%4."/>
      <w:lvlJc w:val="left"/>
      <w:pPr>
        <w:ind w:left="3960" w:hanging="360"/>
      </w:pPr>
    </w:lvl>
    <w:lvl w:ilvl="4" w:tplc="24090019" w:tentative="1">
      <w:start w:val="1"/>
      <w:numFmt w:val="lowerLetter"/>
      <w:lvlText w:val="%5."/>
      <w:lvlJc w:val="left"/>
      <w:pPr>
        <w:ind w:left="4680" w:hanging="360"/>
      </w:pPr>
    </w:lvl>
    <w:lvl w:ilvl="5" w:tplc="2409001B" w:tentative="1">
      <w:start w:val="1"/>
      <w:numFmt w:val="lowerRoman"/>
      <w:lvlText w:val="%6."/>
      <w:lvlJc w:val="right"/>
      <w:pPr>
        <w:ind w:left="5400" w:hanging="180"/>
      </w:pPr>
    </w:lvl>
    <w:lvl w:ilvl="6" w:tplc="2409000F" w:tentative="1">
      <w:start w:val="1"/>
      <w:numFmt w:val="decimal"/>
      <w:lvlText w:val="%7."/>
      <w:lvlJc w:val="left"/>
      <w:pPr>
        <w:ind w:left="6120" w:hanging="360"/>
      </w:pPr>
    </w:lvl>
    <w:lvl w:ilvl="7" w:tplc="24090019" w:tentative="1">
      <w:start w:val="1"/>
      <w:numFmt w:val="lowerLetter"/>
      <w:lvlText w:val="%8."/>
      <w:lvlJc w:val="left"/>
      <w:pPr>
        <w:ind w:left="6840" w:hanging="360"/>
      </w:pPr>
    </w:lvl>
    <w:lvl w:ilvl="8" w:tplc="2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3B678D5"/>
    <w:multiLevelType w:val="hybridMultilevel"/>
    <w:tmpl w:val="B31487BA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33ACE"/>
    <w:multiLevelType w:val="hybridMultilevel"/>
    <w:tmpl w:val="3C6EADDC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24090019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E1B66"/>
    <w:multiLevelType w:val="hybridMultilevel"/>
    <w:tmpl w:val="ADB6942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4476C"/>
    <w:multiLevelType w:val="hybridMultilevel"/>
    <w:tmpl w:val="654EC652"/>
    <w:lvl w:ilvl="0" w:tplc="A8CC4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17757"/>
    <w:multiLevelType w:val="hybridMultilevel"/>
    <w:tmpl w:val="0FDCE742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B6C0E"/>
    <w:multiLevelType w:val="hybridMultilevel"/>
    <w:tmpl w:val="F858D728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A735A"/>
    <w:multiLevelType w:val="hybridMultilevel"/>
    <w:tmpl w:val="208A9412"/>
    <w:lvl w:ilvl="0" w:tplc="24090013">
      <w:start w:val="1"/>
      <w:numFmt w:val="upperRoman"/>
      <w:lvlText w:val="%1."/>
      <w:lvlJc w:val="right"/>
      <w:pPr>
        <w:ind w:left="720" w:hanging="18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3F4F00"/>
    <w:multiLevelType w:val="hybridMultilevel"/>
    <w:tmpl w:val="B1187F18"/>
    <w:lvl w:ilvl="0" w:tplc="4038FA4A">
      <w:start w:val="1"/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06CEE"/>
    <w:multiLevelType w:val="hybridMultilevel"/>
    <w:tmpl w:val="988E1358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ED4E66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46A8EA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51A48"/>
    <w:multiLevelType w:val="hybridMultilevel"/>
    <w:tmpl w:val="B9DE2698"/>
    <w:lvl w:ilvl="0" w:tplc="A8CC4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6B1E9F"/>
    <w:multiLevelType w:val="hybridMultilevel"/>
    <w:tmpl w:val="E70C4616"/>
    <w:lvl w:ilvl="0" w:tplc="A8CC4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722FA"/>
    <w:multiLevelType w:val="hybridMultilevel"/>
    <w:tmpl w:val="51DA9DD0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FB0A3F"/>
    <w:multiLevelType w:val="hybridMultilevel"/>
    <w:tmpl w:val="563829C2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435CA07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F2D4E"/>
    <w:multiLevelType w:val="hybridMultilevel"/>
    <w:tmpl w:val="9E9E86A8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27F56">
      <w:start w:val="2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6"/>
  </w:num>
  <w:num w:numId="4">
    <w:abstractNumId w:val="20"/>
  </w:num>
  <w:num w:numId="5">
    <w:abstractNumId w:val="18"/>
  </w:num>
  <w:num w:numId="6">
    <w:abstractNumId w:val="15"/>
  </w:num>
  <w:num w:numId="7">
    <w:abstractNumId w:val="16"/>
  </w:num>
  <w:num w:numId="8">
    <w:abstractNumId w:val="0"/>
  </w:num>
  <w:num w:numId="9">
    <w:abstractNumId w:val="13"/>
  </w:num>
  <w:num w:numId="10">
    <w:abstractNumId w:val="8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9"/>
  </w:num>
  <w:num w:numId="16">
    <w:abstractNumId w:val="14"/>
  </w:num>
  <w:num w:numId="17">
    <w:abstractNumId w:val="2"/>
  </w:num>
  <w:num w:numId="18">
    <w:abstractNumId w:val="1"/>
  </w:num>
  <w:num w:numId="19">
    <w:abstractNumId w:val="11"/>
  </w:num>
  <w:num w:numId="20">
    <w:abstractNumId w:val="10"/>
  </w:num>
  <w:num w:numId="21">
    <w:abstractNumId w:val="1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1B9"/>
    <w:rsid w:val="0000518F"/>
    <w:rsid w:val="00011693"/>
    <w:rsid w:val="00035665"/>
    <w:rsid w:val="00040DB5"/>
    <w:rsid w:val="00050014"/>
    <w:rsid w:val="00057D74"/>
    <w:rsid w:val="00071616"/>
    <w:rsid w:val="00076AC4"/>
    <w:rsid w:val="000F6055"/>
    <w:rsid w:val="000F7E28"/>
    <w:rsid w:val="00102FED"/>
    <w:rsid w:val="00115045"/>
    <w:rsid w:val="0012275B"/>
    <w:rsid w:val="0013754B"/>
    <w:rsid w:val="00193CCC"/>
    <w:rsid w:val="001975A7"/>
    <w:rsid w:val="001D55F9"/>
    <w:rsid w:val="001D72F3"/>
    <w:rsid w:val="001E1DA4"/>
    <w:rsid w:val="001E4907"/>
    <w:rsid w:val="002104A3"/>
    <w:rsid w:val="00222F81"/>
    <w:rsid w:val="00225ED1"/>
    <w:rsid w:val="00250218"/>
    <w:rsid w:val="0025054F"/>
    <w:rsid w:val="00250A57"/>
    <w:rsid w:val="00260302"/>
    <w:rsid w:val="00260890"/>
    <w:rsid w:val="002779BB"/>
    <w:rsid w:val="0029147C"/>
    <w:rsid w:val="002A40EF"/>
    <w:rsid w:val="002A6C32"/>
    <w:rsid w:val="002C128A"/>
    <w:rsid w:val="002C2F1C"/>
    <w:rsid w:val="002D1D5F"/>
    <w:rsid w:val="002D6787"/>
    <w:rsid w:val="002D70CE"/>
    <w:rsid w:val="002D750C"/>
    <w:rsid w:val="002F07E9"/>
    <w:rsid w:val="002F3883"/>
    <w:rsid w:val="002F7439"/>
    <w:rsid w:val="003010BD"/>
    <w:rsid w:val="00302D41"/>
    <w:rsid w:val="003030AF"/>
    <w:rsid w:val="00305121"/>
    <w:rsid w:val="00307C2A"/>
    <w:rsid w:val="00344288"/>
    <w:rsid w:val="00374424"/>
    <w:rsid w:val="00376FE1"/>
    <w:rsid w:val="00381D34"/>
    <w:rsid w:val="00383BFA"/>
    <w:rsid w:val="003944DD"/>
    <w:rsid w:val="003B5286"/>
    <w:rsid w:val="003D2BBA"/>
    <w:rsid w:val="003D7B68"/>
    <w:rsid w:val="003E6047"/>
    <w:rsid w:val="003F3D5E"/>
    <w:rsid w:val="003F5F98"/>
    <w:rsid w:val="00417A71"/>
    <w:rsid w:val="00424A69"/>
    <w:rsid w:val="0044173C"/>
    <w:rsid w:val="00442436"/>
    <w:rsid w:val="004440B0"/>
    <w:rsid w:val="00445816"/>
    <w:rsid w:val="00451F88"/>
    <w:rsid w:val="0046057D"/>
    <w:rsid w:val="0046737B"/>
    <w:rsid w:val="00473648"/>
    <w:rsid w:val="0048062F"/>
    <w:rsid w:val="00480DB7"/>
    <w:rsid w:val="004862E3"/>
    <w:rsid w:val="004A47A3"/>
    <w:rsid w:val="004C1053"/>
    <w:rsid w:val="004E4E08"/>
    <w:rsid w:val="004E6D8E"/>
    <w:rsid w:val="005022D1"/>
    <w:rsid w:val="00514B26"/>
    <w:rsid w:val="00516473"/>
    <w:rsid w:val="00550C9D"/>
    <w:rsid w:val="00551EFB"/>
    <w:rsid w:val="00554081"/>
    <w:rsid w:val="00554F1D"/>
    <w:rsid w:val="005675B7"/>
    <w:rsid w:val="005705A9"/>
    <w:rsid w:val="005B40D1"/>
    <w:rsid w:val="005D32C0"/>
    <w:rsid w:val="005E3464"/>
    <w:rsid w:val="0060448B"/>
    <w:rsid w:val="00610EEC"/>
    <w:rsid w:val="00622A8A"/>
    <w:rsid w:val="00627ADE"/>
    <w:rsid w:val="00655054"/>
    <w:rsid w:val="00660FA5"/>
    <w:rsid w:val="00667665"/>
    <w:rsid w:val="006717FF"/>
    <w:rsid w:val="0069209E"/>
    <w:rsid w:val="00697397"/>
    <w:rsid w:val="006B488B"/>
    <w:rsid w:val="006C74AF"/>
    <w:rsid w:val="006E2800"/>
    <w:rsid w:val="00701AB9"/>
    <w:rsid w:val="007055C9"/>
    <w:rsid w:val="00723706"/>
    <w:rsid w:val="007371B9"/>
    <w:rsid w:val="00752C6A"/>
    <w:rsid w:val="00766CB2"/>
    <w:rsid w:val="00794DEC"/>
    <w:rsid w:val="00796EA8"/>
    <w:rsid w:val="007C3F0D"/>
    <w:rsid w:val="007D0208"/>
    <w:rsid w:val="007D37FB"/>
    <w:rsid w:val="007E76C8"/>
    <w:rsid w:val="007F1CCA"/>
    <w:rsid w:val="007F723A"/>
    <w:rsid w:val="0080586A"/>
    <w:rsid w:val="00810736"/>
    <w:rsid w:val="0081666D"/>
    <w:rsid w:val="0082712A"/>
    <w:rsid w:val="00836CCA"/>
    <w:rsid w:val="00851E4F"/>
    <w:rsid w:val="008534E8"/>
    <w:rsid w:val="008615CB"/>
    <w:rsid w:val="00866044"/>
    <w:rsid w:val="008915BD"/>
    <w:rsid w:val="008923E8"/>
    <w:rsid w:val="008D786D"/>
    <w:rsid w:val="00900D71"/>
    <w:rsid w:val="00907566"/>
    <w:rsid w:val="009178E6"/>
    <w:rsid w:val="00926CF5"/>
    <w:rsid w:val="00957F65"/>
    <w:rsid w:val="009675F1"/>
    <w:rsid w:val="00970DC3"/>
    <w:rsid w:val="009B4140"/>
    <w:rsid w:val="009D240E"/>
    <w:rsid w:val="009D2788"/>
    <w:rsid w:val="009F0B25"/>
    <w:rsid w:val="009F394F"/>
    <w:rsid w:val="00A02FA2"/>
    <w:rsid w:val="00A1165C"/>
    <w:rsid w:val="00A15ED0"/>
    <w:rsid w:val="00A169A1"/>
    <w:rsid w:val="00A25597"/>
    <w:rsid w:val="00A35CEE"/>
    <w:rsid w:val="00A37F7D"/>
    <w:rsid w:val="00A4378C"/>
    <w:rsid w:val="00A47A7C"/>
    <w:rsid w:val="00A605F3"/>
    <w:rsid w:val="00A6390C"/>
    <w:rsid w:val="00A7085C"/>
    <w:rsid w:val="00A73620"/>
    <w:rsid w:val="00A74EF3"/>
    <w:rsid w:val="00A90BE3"/>
    <w:rsid w:val="00A95BEB"/>
    <w:rsid w:val="00AB0C45"/>
    <w:rsid w:val="00AD228D"/>
    <w:rsid w:val="00AE7010"/>
    <w:rsid w:val="00AF3241"/>
    <w:rsid w:val="00AF584C"/>
    <w:rsid w:val="00AF66EF"/>
    <w:rsid w:val="00B00A63"/>
    <w:rsid w:val="00B02E1C"/>
    <w:rsid w:val="00B519FE"/>
    <w:rsid w:val="00B77456"/>
    <w:rsid w:val="00B91EC1"/>
    <w:rsid w:val="00BB55CD"/>
    <w:rsid w:val="00BC3CD3"/>
    <w:rsid w:val="00BD1951"/>
    <w:rsid w:val="00BD20AC"/>
    <w:rsid w:val="00C00A8D"/>
    <w:rsid w:val="00C058D3"/>
    <w:rsid w:val="00C23E37"/>
    <w:rsid w:val="00C311E3"/>
    <w:rsid w:val="00C54BDF"/>
    <w:rsid w:val="00C54D52"/>
    <w:rsid w:val="00C56BA5"/>
    <w:rsid w:val="00C56FF9"/>
    <w:rsid w:val="00C61E50"/>
    <w:rsid w:val="00C7246C"/>
    <w:rsid w:val="00C90C6F"/>
    <w:rsid w:val="00CA2A91"/>
    <w:rsid w:val="00CA3D1B"/>
    <w:rsid w:val="00CB4F89"/>
    <w:rsid w:val="00CB5DA3"/>
    <w:rsid w:val="00CE19CB"/>
    <w:rsid w:val="00CF4388"/>
    <w:rsid w:val="00CF4646"/>
    <w:rsid w:val="00D026B6"/>
    <w:rsid w:val="00D16A5F"/>
    <w:rsid w:val="00D254C6"/>
    <w:rsid w:val="00D30AC0"/>
    <w:rsid w:val="00D32089"/>
    <w:rsid w:val="00D47B69"/>
    <w:rsid w:val="00D60562"/>
    <w:rsid w:val="00D63059"/>
    <w:rsid w:val="00D700FC"/>
    <w:rsid w:val="00D70C34"/>
    <w:rsid w:val="00D74901"/>
    <w:rsid w:val="00D808DE"/>
    <w:rsid w:val="00D80922"/>
    <w:rsid w:val="00D84710"/>
    <w:rsid w:val="00DB11A7"/>
    <w:rsid w:val="00DD7CD5"/>
    <w:rsid w:val="00DF2EDF"/>
    <w:rsid w:val="00E07765"/>
    <w:rsid w:val="00E138C8"/>
    <w:rsid w:val="00E15DC9"/>
    <w:rsid w:val="00E21282"/>
    <w:rsid w:val="00E216D8"/>
    <w:rsid w:val="00E36330"/>
    <w:rsid w:val="00E41B37"/>
    <w:rsid w:val="00E432E6"/>
    <w:rsid w:val="00E823B6"/>
    <w:rsid w:val="00E8393C"/>
    <w:rsid w:val="00E95C1C"/>
    <w:rsid w:val="00E9601A"/>
    <w:rsid w:val="00EA0923"/>
    <w:rsid w:val="00ED7FAE"/>
    <w:rsid w:val="00EE7366"/>
    <w:rsid w:val="00EE7B04"/>
    <w:rsid w:val="00EF0E14"/>
    <w:rsid w:val="00EF2944"/>
    <w:rsid w:val="00EF36C6"/>
    <w:rsid w:val="00EF6299"/>
    <w:rsid w:val="00F26443"/>
    <w:rsid w:val="00F36709"/>
    <w:rsid w:val="00F40F31"/>
    <w:rsid w:val="00F50214"/>
    <w:rsid w:val="00F50B27"/>
    <w:rsid w:val="00F642A9"/>
    <w:rsid w:val="00F66849"/>
    <w:rsid w:val="00F77B17"/>
    <w:rsid w:val="00F80CAD"/>
    <w:rsid w:val="00F87328"/>
    <w:rsid w:val="00F9645F"/>
    <w:rsid w:val="00FD3707"/>
    <w:rsid w:val="00FD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D"/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1B9"/>
    <w:pPr>
      <w:autoSpaceDE w:val="0"/>
      <w:autoSpaceDN w:val="0"/>
      <w:adjustRightInd w:val="0"/>
      <w:spacing w:after="0" w:line="240" w:lineRule="auto"/>
    </w:pPr>
    <w:rPr>
      <w:rFonts w:ascii="Humnst777 BT" w:hAnsi="Humnst777 BT" w:cs="Humnst777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1B9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7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B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7C"/>
    <w:rPr>
      <w:rFonts w:ascii="Tahoma" w:hAnsi="Tahoma" w:cs="Tahoma"/>
      <w:sz w:val="16"/>
      <w:szCs w:val="16"/>
      <w:lang w:val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OJ:L:2014:346:FULL&amp;from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hyperlink" Target="https://www.gov.uk/government/publications/financial-sanctions-faq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gov.uk/sanctions-embargoes-and-restric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.org/sc/committ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collections/financialsanctions-regime-specific-consolidated-lists-and-releas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54121-2E1E-41E0-9D67-D1003F85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Dunila Cuffy</dc:creator>
  <cp:lastModifiedBy>white-j</cp:lastModifiedBy>
  <cp:revision>10</cp:revision>
  <cp:lastPrinted>2014-12-08T13:53:00Z</cp:lastPrinted>
  <dcterms:created xsi:type="dcterms:W3CDTF">2014-12-08T13:55:00Z</dcterms:created>
  <dcterms:modified xsi:type="dcterms:W3CDTF">2014-12-08T14:17:00Z</dcterms:modified>
</cp:coreProperties>
</file>