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306E67" w:rsidP="006B488B">
                  <w:pPr>
                    <w:pStyle w:val="Default"/>
                    <w:ind w:left="-108" w:right="-90"/>
                    <w:jc w:val="both"/>
                    <w:rPr>
                      <w:rFonts w:ascii="Arial" w:hAnsi="Arial" w:cs="Arial"/>
                    </w:rPr>
                  </w:pPr>
                  <w:r>
                    <w:rPr>
                      <w:rFonts w:ascii="Arial" w:hAnsi="Arial" w:cs="Arial"/>
                    </w:rPr>
                    <w:t>9 April</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13147B" w:rsidRDefault="00306E67" w:rsidP="0013147B">
                  <w:pPr>
                    <w:pStyle w:val="Default"/>
                    <w:ind w:right="-90"/>
                    <w:jc w:val="center"/>
                    <w:rPr>
                      <w:rFonts w:ascii="Arial" w:hAnsi="Arial" w:cs="Arial"/>
                      <w:b/>
                      <w:sz w:val="28"/>
                      <w:szCs w:val="28"/>
                    </w:rPr>
                  </w:pPr>
                  <w:r>
                    <w:rPr>
                      <w:rFonts w:ascii="Arial" w:hAnsi="Arial" w:cs="Arial"/>
                      <w:b/>
                      <w:sz w:val="28"/>
                      <w:szCs w:val="28"/>
                    </w:rPr>
                    <w:t>Iran (</w:t>
                  </w:r>
                  <w:r w:rsidR="007D5FA7">
                    <w:rPr>
                      <w:rFonts w:ascii="Arial" w:hAnsi="Arial" w:cs="Arial"/>
                      <w:b/>
                      <w:sz w:val="28"/>
                      <w:szCs w:val="28"/>
                    </w:rPr>
                    <w:t>Nuclear Proliferation</w:t>
                  </w:r>
                  <w:r>
                    <w:rPr>
                      <w:rFonts w:ascii="Arial" w:hAnsi="Arial" w:cs="Arial"/>
                      <w:b/>
                      <w:sz w:val="28"/>
                      <w:szCs w:val="28"/>
                    </w:rPr>
                    <w:t>)</w:t>
                  </w:r>
                </w:p>
                <w:p w:rsidR="0013147B" w:rsidRPr="0013147B" w:rsidRDefault="0013147B" w:rsidP="0013147B">
                  <w:pPr>
                    <w:pStyle w:val="Default"/>
                    <w:ind w:right="-90"/>
                    <w:jc w:val="center"/>
                    <w:rPr>
                      <w:rFonts w:ascii="Arial" w:hAnsi="Arial" w:cs="Arial"/>
                      <w:b/>
                      <w:sz w:val="28"/>
                      <w:szCs w:val="28"/>
                    </w:rPr>
                  </w:pPr>
                </w:p>
              </w:tc>
            </w:tr>
          </w:tbl>
          <w:p w:rsidR="007D5FA7" w:rsidRPr="007D5FA7" w:rsidRDefault="007D5FA7" w:rsidP="00306E67">
            <w:pPr>
              <w:spacing w:after="0" w:line="240" w:lineRule="auto"/>
              <w:ind w:right="-90"/>
              <w:jc w:val="both"/>
              <w:rPr>
                <w:rFonts w:ascii="Arial" w:hAnsi="Arial" w:cs="Arial"/>
                <w:b/>
                <w:sz w:val="24"/>
                <w:szCs w:val="24"/>
              </w:rPr>
            </w:pPr>
            <w:r w:rsidRPr="007D5FA7">
              <w:rPr>
                <w:rFonts w:ascii="Arial" w:hAnsi="Arial" w:cs="Arial"/>
                <w:b/>
                <w:sz w:val="24"/>
                <w:szCs w:val="24"/>
              </w:rPr>
              <w:t xml:space="preserve">Introduction </w:t>
            </w:r>
          </w:p>
          <w:p w:rsidR="007D5FA7" w:rsidRDefault="007D5FA7" w:rsidP="00306E67">
            <w:pPr>
              <w:spacing w:after="0" w:line="240" w:lineRule="auto"/>
              <w:ind w:right="-90"/>
              <w:jc w:val="both"/>
              <w:rPr>
                <w:rFonts w:ascii="Arial" w:hAnsi="Arial" w:cs="Arial"/>
                <w:sz w:val="24"/>
                <w:szCs w:val="24"/>
              </w:rPr>
            </w:pPr>
          </w:p>
          <w:p w:rsidR="007D5FA7" w:rsidRPr="007D5FA7" w:rsidRDefault="007D5FA7" w:rsidP="007D5FA7">
            <w:pPr>
              <w:pStyle w:val="ListParagraph"/>
              <w:numPr>
                <w:ilvl w:val="0"/>
                <w:numId w:val="17"/>
              </w:numPr>
              <w:spacing w:after="0" w:line="240" w:lineRule="auto"/>
              <w:ind w:right="-90"/>
              <w:jc w:val="both"/>
              <w:rPr>
                <w:rFonts w:ascii="Arial" w:hAnsi="Arial" w:cs="Arial"/>
                <w:sz w:val="24"/>
                <w:szCs w:val="24"/>
              </w:rPr>
            </w:pPr>
            <w:r w:rsidRPr="007D5FA7">
              <w:rPr>
                <w:rFonts w:ascii="Arial" w:hAnsi="Arial" w:cs="Arial"/>
                <w:sz w:val="24"/>
                <w:szCs w:val="24"/>
              </w:rPr>
              <w:t xml:space="preserve">By its judgment of 22 January 2015 in Joined Cases T-420/11 and T-56/12, the General Court of the European Union annulled the Decision of the Council of the European Union to include 39 entities on the list of persons and entities subject to restrictive measures against Iran. By its judgment of 22 January 2015 in Case T-176/12, the General Court of the European Union annulled the Decision of the Council of the European Union to include Bank </w:t>
            </w:r>
            <w:proofErr w:type="spellStart"/>
            <w:r w:rsidRPr="007D5FA7">
              <w:rPr>
                <w:rFonts w:ascii="Arial" w:hAnsi="Arial" w:cs="Arial"/>
                <w:sz w:val="24"/>
                <w:szCs w:val="24"/>
              </w:rPr>
              <w:t>Tejarat</w:t>
            </w:r>
            <w:proofErr w:type="spellEnd"/>
            <w:r w:rsidRPr="007D5FA7">
              <w:rPr>
                <w:rFonts w:ascii="Arial" w:hAnsi="Arial" w:cs="Arial"/>
                <w:sz w:val="24"/>
                <w:szCs w:val="24"/>
              </w:rPr>
              <w:t xml:space="preserve"> on the list of persons and entities subject to restrictive measures against Iran. </w:t>
            </w:r>
          </w:p>
          <w:p w:rsidR="007D5FA7" w:rsidRDefault="007D5FA7" w:rsidP="00306E67">
            <w:pPr>
              <w:spacing w:after="0" w:line="240" w:lineRule="auto"/>
              <w:ind w:right="-90"/>
              <w:jc w:val="both"/>
              <w:rPr>
                <w:rFonts w:ascii="Arial" w:hAnsi="Arial" w:cs="Arial"/>
                <w:sz w:val="24"/>
                <w:szCs w:val="24"/>
              </w:rPr>
            </w:pPr>
          </w:p>
          <w:p w:rsidR="007D5FA7" w:rsidRPr="007D5FA7" w:rsidRDefault="007D5FA7" w:rsidP="007D5FA7">
            <w:pPr>
              <w:pStyle w:val="ListParagraph"/>
              <w:numPr>
                <w:ilvl w:val="0"/>
                <w:numId w:val="17"/>
              </w:numPr>
              <w:spacing w:after="0" w:line="240" w:lineRule="auto"/>
              <w:ind w:right="-90"/>
              <w:jc w:val="both"/>
              <w:rPr>
                <w:rFonts w:ascii="Arial" w:hAnsi="Arial" w:cs="Arial"/>
                <w:sz w:val="24"/>
                <w:szCs w:val="24"/>
              </w:rPr>
            </w:pPr>
            <w:r w:rsidRPr="007D5FA7">
              <w:rPr>
                <w:rFonts w:ascii="Arial" w:hAnsi="Arial" w:cs="Arial"/>
                <w:sz w:val="24"/>
                <w:szCs w:val="24"/>
              </w:rPr>
              <w:t xml:space="preserve">Council Implementing Regulation (EU) 2015/549 relists 33 of these 40 entities. Therefore 7 entities have been removed from Annex IX to Council Regulation (EU) 267/2012. </w:t>
            </w:r>
          </w:p>
          <w:p w:rsidR="007D5FA7" w:rsidRDefault="007D5FA7" w:rsidP="00306E67">
            <w:pPr>
              <w:spacing w:after="0" w:line="240" w:lineRule="auto"/>
              <w:ind w:right="-90"/>
              <w:jc w:val="both"/>
              <w:rPr>
                <w:rFonts w:ascii="Arial" w:hAnsi="Arial" w:cs="Arial"/>
                <w:sz w:val="24"/>
                <w:szCs w:val="24"/>
              </w:rPr>
            </w:pPr>
          </w:p>
          <w:p w:rsidR="007D5FA7" w:rsidRDefault="007D5FA7" w:rsidP="007D5FA7">
            <w:pPr>
              <w:pStyle w:val="ListParagraph"/>
              <w:numPr>
                <w:ilvl w:val="0"/>
                <w:numId w:val="17"/>
              </w:numPr>
              <w:spacing w:after="0" w:line="240" w:lineRule="auto"/>
              <w:ind w:right="-90"/>
              <w:jc w:val="both"/>
              <w:rPr>
                <w:rFonts w:ascii="Arial" w:hAnsi="Arial" w:cs="Arial"/>
                <w:sz w:val="24"/>
                <w:szCs w:val="24"/>
              </w:rPr>
            </w:pPr>
            <w:r w:rsidRPr="007D5FA7">
              <w:rPr>
                <w:rFonts w:ascii="Arial" w:hAnsi="Arial" w:cs="Arial"/>
                <w:sz w:val="24"/>
                <w:szCs w:val="24"/>
              </w:rPr>
              <w:t xml:space="preserve">Information for a number of entries has also been updated. HM Treasury is reviewing those changes and will make any further announcement that is needed shortly. </w:t>
            </w:r>
          </w:p>
          <w:p w:rsidR="007D5FA7" w:rsidRPr="007D5FA7" w:rsidRDefault="007D5FA7" w:rsidP="007D5FA7">
            <w:pPr>
              <w:spacing w:after="0" w:line="240" w:lineRule="auto"/>
              <w:ind w:right="-90"/>
              <w:jc w:val="both"/>
              <w:rPr>
                <w:rFonts w:ascii="Arial" w:hAnsi="Arial" w:cs="Arial"/>
                <w:b/>
                <w:sz w:val="24"/>
                <w:szCs w:val="24"/>
              </w:rPr>
            </w:pPr>
          </w:p>
          <w:p w:rsidR="007D5FA7" w:rsidRPr="007D5FA7" w:rsidRDefault="007D5FA7" w:rsidP="007D5FA7">
            <w:pPr>
              <w:spacing w:after="0" w:line="240" w:lineRule="auto"/>
              <w:ind w:right="-90"/>
              <w:jc w:val="both"/>
              <w:rPr>
                <w:rFonts w:ascii="Arial" w:hAnsi="Arial" w:cs="Arial"/>
                <w:b/>
                <w:sz w:val="24"/>
                <w:szCs w:val="24"/>
              </w:rPr>
            </w:pPr>
            <w:r w:rsidRPr="007D5FA7">
              <w:rPr>
                <w:rFonts w:ascii="Arial" w:hAnsi="Arial" w:cs="Arial"/>
                <w:b/>
                <w:sz w:val="24"/>
                <w:szCs w:val="24"/>
              </w:rPr>
              <w:t xml:space="preserve">Notice summary (Full details are provided in the Annex to this Notice) </w:t>
            </w:r>
          </w:p>
          <w:p w:rsidR="007D5FA7" w:rsidRDefault="007D5FA7" w:rsidP="00306E67">
            <w:pPr>
              <w:spacing w:after="0" w:line="240" w:lineRule="auto"/>
              <w:ind w:right="-90"/>
              <w:jc w:val="both"/>
              <w:rPr>
                <w:rFonts w:ascii="Arial" w:hAnsi="Arial" w:cs="Arial"/>
                <w:sz w:val="24"/>
                <w:szCs w:val="24"/>
              </w:rPr>
            </w:pPr>
          </w:p>
          <w:p w:rsidR="007D5FA7" w:rsidRDefault="007D5FA7" w:rsidP="007D5FA7">
            <w:pPr>
              <w:pStyle w:val="ListParagraph"/>
              <w:numPr>
                <w:ilvl w:val="0"/>
                <w:numId w:val="17"/>
              </w:numPr>
              <w:spacing w:after="0" w:line="240" w:lineRule="auto"/>
              <w:ind w:right="-90"/>
              <w:jc w:val="both"/>
              <w:rPr>
                <w:rFonts w:ascii="Arial" w:hAnsi="Arial" w:cs="Arial"/>
                <w:sz w:val="24"/>
                <w:szCs w:val="24"/>
              </w:rPr>
            </w:pPr>
            <w:r w:rsidRPr="007D5FA7">
              <w:rPr>
                <w:rFonts w:ascii="Arial" w:hAnsi="Arial" w:cs="Arial"/>
                <w:sz w:val="24"/>
                <w:szCs w:val="24"/>
              </w:rPr>
              <w:t xml:space="preserve">The following entries, having been annulled and not relisted, have been removed from the consolidated list and are no longer subject to an asset freeze.  </w:t>
            </w:r>
          </w:p>
          <w:p w:rsidR="00DF082F" w:rsidRPr="007D5FA7" w:rsidRDefault="00DF082F" w:rsidP="00DF082F">
            <w:pPr>
              <w:pStyle w:val="ListParagraph"/>
              <w:spacing w:after="0" w:line="240" w:lineRule="auto"/>
              <w:ind w:right="-90"/>
              <w:jc w:val="both"/>
              <w:rPr>
                <w:rFonts w:ascii="Arial" w:hAnsi="Arial" w:cs="Arial"/>
                <w:sz w:val="24"/>
                <w:szCs w:val="24"/>
              </w:rPr>
            </w:pPr>
          </w:p>
          <w:p w:rsidR="00DF082F" w:rsidRDefault="007D5FA7" w:rsidP="00DF082F">
            <w:pPr>
              <w:pStyle w:val="ListParagraph"/>
              <w:numPr>
                <w:ilvl w:val="0"/>
                <w:numId w:val="18"/>
              </w:numPr>
              <w:spacing w:after="0" w:line="240" w:lineRule="auto"/>
              <w:ind w:right="-90"/>
              <w:jc w:val="both"/>
              <w:rPr>
                <w:rFonts w:ascii="Arial" w:hAnsi="Arial" w:cs="Arial"/>
                <w:sz w:val="24"/>
                <w:szCs w:val="24"/>
              </w:rPr>
            </w:pPr>
            <w:r w:rsidRPr="007D5FA7">
              <w:rPr>
                <w:rFonts w:ascii="Arial" w:hAnsi="Arial" w:cs="Arial"/>
                <w:sz w:val="24"/>
                <w:szCs w:val="24"/>
              </w:rPr>
              <w:t>KERMAN SHIPPING COMPANY LTD - Group ID: 11565</w:t>
            </w:r>
          </w:p>
          <w:p w:rsidR="00DF082F" w:rsidRDefault="007D5FA7" w:rsidP="00DF082F">
            <w:pPr>
              <w:pStyle w:val="ListParagraph"/>
              <w:numPr>
                <w:ilvl w:val="0"/>
                <w:numId w:val="18"/>
              </w:numPr>
              <w:spacing w:after="0" w:line="240" w:lineRule="auto"/>
              <w:ind w:right="-90"/>
              <w:jc w:val="both"/>
              <w:rPr>
                <w:rFonts w:ascii="Arial" w:hAnsi="Arial" w:cs="Arial"/>
                <w:sz w:val="24"/>
                <w:szCs w:val="24"/>
              </w:rPr>
            </w:pPr>
            <w:r w:rsidRPr="007D5FA7">
              <w:rPr>
                <w:rFonts w:ascii="Arial" w:hAnsi="Arial" w:cs="Arial"/>
                <w:sz w:val="24"/>
                <w:szCs w:val="24"/>
              </w:rPr>
              <w:t>LANCELIN SHIPPING COMPANY LTD - Group ID: 11571</w:t>
            </w:r>
          </w:p>
          <w:p w:rsidR="00DF082F" w:rsidRDefault="007D5FA7" w:rsidP="00DF082F">
            <w:pPr>
              <w:pStyle w:val="ListParagraph"/>
              <w:numPr>
                <w:ilvl w:val="0"/>
                <w:numId w:val="18"/>
              </w:numPr>
              <w:spacing w:after="0" w:line="240" w:lineRule="auto"/>
              <w:ind w:right="-90"/>
              <w:jc w:val="both"/>
              <w:rPr>
                <w:rFonts w:ascii="Arial" w:hAnsi="Arial" w:cs="Arial"/>
                <w:sz w:val="24"/>
                <w:szCs w:val="24"/>
              </w:rPr>
            </w:pPr>
            <w:r w:rsidRPr="007D5FA7">
              <w:rPr>
                <w:rFonts w:ascii="Arial" w:hAnsi="Arial" w:cs="Arial"/>
                <w:sz w:val="24"/>
                <w:szCs w:val="24"/>
              </w:rPr>
              <w:t>SHERE SHIPPING COMPANY LIMITED - Group ID: 11567</w:t>
            </w:r>
          </w:p>
          <w:p w:rsidR="00DF082F" w:rsidRDefault="007D5FA7" w:rsidP="00DF082F">
            <w:pPr>
              <w:pStyle w:val="ListParagraph"/>
              <w:numPr>
                <w:ilvl w:val="0"/>
                <w:numId w:val="18"/>
              </w:numPr>
              <w:spacing w:after="0" w:line="240" w:lineRule="auto"/>
              <w:ind w:right="-90"/>
              <w:jc w:val="both"/>
              <w:rPr>
                <w:rFonts w:ascii="Arial" w:hAnsi="Arial" w:cs="Arial"/>
                <w:sz w:val="24"/>
                <w:szCs w:val="24"/>
              </w:rPr>
            </w:pPr>
            <w:r w:rsidRPr="007D5FA7">
              <w:rPr>
                <w:rFonts w:ascii="Arial" w:hAnsi="Arial" w:cs="Arial"/>
                <w:sz w:val="24"/>
                <w:szCs w:val="24"/>
              </w:rPr>
              <w:t>TONGHAM SHIPPING CO. LTD - Group ID: 11568</w:t>
            </w:r>
          </w:p>
          <w:p w:rsidR="00DF082F" w:rsidRDefault="007D5FA7" w:rsidP="00DF082F">
            <w:pPr>
              <w:pStyle w:val="ListParagraph"/>
              <w:numPr>
                <w:ilvl w:val="0"/>
                <w:numId w:val="18"/>
              </w:numPr>
              <w:spacing w:after="0" w:line="240" w:lineRule="auto"/>
              <w:ind w:right="-90"/>
              <w:jc w:val="both"/>
              <w:rPr>
                <w:rFonts w:ascii="Arial" w:hAnsi="Arial" w:cs="Arial"/>
                <w:sz w:val="24"/>
                <w:szCs w:val="24"/>
              </w:rPr>
            </w:pPr>
            <w:r w:rsidRPr="007D5FA7">
              <w:rPr>
                <w:rFonts w:ascii="Arial" w:hAnsi="Arial" w:cs="Arial"/>
                <w:sz w:val="24"/>
                <w:szCs w:val="24"/>
              </w:rPr>
              <w:t>UPPERCOURT SHIPPING COMPANY LIMITED - Group ID: 11569</w:t>
            </w:r>
          </w:p>
          <w:p w:rsidR="00DF082F" w:rsidRDefault="007D5FA7" w:rsidP="00DF082F">
            <w:pPr>
              <w:pStyle w:val="ListParagraph"/>
              <w:numPr>
                <w:ilvl w:val="0"/>
                <w:numId w:val="18"/>
              </w:numPr>
              <w:spacing w:after="0" w:line="240" w:lineRule="auto"/>
              <w:ind w:right="-90"/>
              <w:jc w:val="both"/>
              <w:rPr>
                <w:rFonts w:ascii="Arial" w:hAnsi="Arial" w:cs="Arial"/>
                <w:sz w:val="24"/>
                <w:szCs w:val="24"/>
              </w:rPr>
            </w:pPr>
            <w:r w:rsidRPr="007D5FA7">
              <w:rPr>
                <w:rFonts w:ascii="Arial" w:hAnsi="Arial" w:cs="Arial"/>
                <w:sz w:val="24"/>
                <w:szCs w:val="24"/>
              </w:rPr>
              <w:t>VOBSTER SHIPPING COMPANY - Group ID: 11570</w:t>
            </w:r>
          </w:p>
          <w:p w:rsidR="00DF082F" w:rsidRDefault="007D5FA7" w:rsidP="00DF082F">
            <w:pPr>
              <w:pStyle w:val="ListParagraph"/>
              <w:numPr>
                <w:ilvl w:val="0"/>
                <w:numId w:val="18"/>
              </w:numPr>
              <w:spacing w:after="0" w:line="240" w:lineRule="auto"/>
              <w:ind w:right="-90"/>
              <w:jc w:val="both"/>
              <w:rPr>
                <w:rFonts w:ascii="Arial" w:hAnsi="Arial" w:cs="Arial"/>
                <w:sz w:val="24"/>
                <w:szCs w:val="24"/>
              </w:rPr>
            </w:pPr>
            <w:r w:rsidRPr="007D5FA7">
              <w:rPr>
                <w:rFonts w:ascii="Arial" w:hAnsi="Arial" w:cs="Arial"/>
                <w:sz w:val="24"/>
                <w:szCs w:val="24"/>
              </w:rPr>
              <w:t>WOKING SHIPPING INVESTMENTS LTD - Group ID: 11566</w:t>
            </w:r>
          </w:p>
          <w:p w:rsidR="00DF082F" w:rsidRDefault="00DF082F" w:rsidP="007D5FA7">
            <w:pPr>
              <w:pStyle w:val="ListParagraph"/>
              <w:spacing w:after="0" w:line="240" w:lineRule="auto"/>
              <w:ind w:right="-90"/>
              <w:jc w:val="both"/>
              <w:rPr>
                <w:rFonts w:ascii="Arial" w:hAnsi="Arial" w:cs="Arial"/>
                <w:sz w:val="24"/>
                <w:szCs w:val="24"/>
              </w:rPr>
            </w:pPr>
          </w:p>
          <w:p w:rsidR="00DF082F" w:rsidRPr="00DF082F" w:rsidRDefault="007D5FA7" w:rsidP="00DF082F">
            <w:pPr>
              <w:spacing w:after="0" w:line="240" w:lineRule="auto"/>
              <w:ind w:right="-90"/>
              <w:jc w:val="both"/>
              <w:rPr>
                <w:rFonts w:ascii="Arial" w:hAnsi="Arial" w:cs="Arial"/>
                <w:b/>
                <w:sz w:val="24"/>
                <w:szCs w:val="24"/>
              </w:rPr>
            </w:pPr>
            <w:r w:rsidRPr="00DF082F">
              <w:rPr>
                <w:rFonts w:ascii="Arial" w:hAnsi="Arial" w:cs="Arial"/>
                <w:b/>
                <w:sz w:val="24"/>
                <w:szCs w:val="24"/>
              </w:rPr>
              <w:t xml:space="preserve">Legislative details </w:t>
            </w:r>
          </w:p>
          <w:p w:rsidR="00DF082F" w:rsidRDefault="00DF082F" w:rsidP="00DF082F">
            <w:pPr>
              <w:spacing w:after="0" w:line="240" w:lineRule="auto"/>
              <w:ind w:right="-90"/>
              <w:jc w:val="both"/>
              <w:rPr>
                <w:rFonts w:ascii="Arial" w:hAnsi="Arial" w:cs="Arial"/>
                <w:sz w:val="24"/>
                <w:szCs w:val="24"/>
              </w:rPr>
            </w:pPr>
          </w:p>
          <w:p w:rsidR="00DF082F" w:rsidRPr="00DF082F" w:rsidRDefault="007D5FA7" w:rsidP="00DF082F">
            <w:pPr>
              <w:pStyle w:val="ListParagraph"/>
              <w:numPr>
                <w:ilvl w:val="0"/>
                <w:numId w:val="17"/>
              </w:numPr>
              <w:spacing w:after="0" w:line="240" w:lineRule="auto"/>
              <w:ind w:right="-90"/>
              <w:jc w:val="both"/>
              <w:rPr>
                <w:rFonts w:ascii="Arial" w:hAnsi="Arial" w:cs="Arial"/>
                <w:sz w:val="24"/>
                <w:szCs w:val="24"/>
              </w:rPr>
            </w:pPr>
            <w:r w:rsidRPr="00DF082F">
              <w:rPr>
                <w:rFonts w:ascii="Arial" w:hAnsi="Arial" w:cs="Arial"/>
                <w:sz w:val="24"/>
                <w:szCs w:val="24"/>
              </w:rPr>
              <w:t xml:space="preserve">On 8 April 2015 Council Implementing Regulation (EU) No 2015/549 (“the Amending Regulation”) was published in the Official Journal of the European Union (O.J. L 92, 8.4.2015, p.12) by the Council of the European Union. </w:t>
            </w:r>
          </w:p>
          <w:p w:rsidR="00DF082F" w:rsidRDefault="00DF082F" w:rsidP="00DF082F">
            <w:pPr>
              <w:spacing w:after="0" w:line="240" w:lineRule="auto"/>
              <w:ind w:right="-90"/>
              <w:jc w:val="both"/>
              <w:rPr>
                <w:rFonts w:ascii="Arial" w:hAnsi="Arial" w:cs="Arial"/>
                <w:sz w:val="24"/>
                <w:szCs w:val="24"/>
              </w:rPr>
            </w:pPr>
          </w:p>
          <w:p w:rsidR="00DF082F" w:rsidRPr="00DF082F" w:rsidRDefault="007D5FA7" w:rsidP="00DF082F">
            <w:pPr>
              <w:pStyle w:val="ListParagraph"/>
              <w:numPr>
                <w:ilvl w:val="0"/>
                <w:numId w:val="17"/>
              </w:numPr>
              <w:spacing w:after="0" w:line="240" w:lineRule="auto"/>
              <w:ind w:right="-90"/>
              <w:jc w:val="both"/>
              <w:rPr>
                <w:rFonts w:ascii="Arial" w:hAnsi="Arial" w:cs="Arial"/>
                <w:sz w:val="24"/>
                <w:szCs w:val="24"/>
              </w:rPr>
            </w:pPr>
            <w:r w:rsidRPr="00DF082F">
              <w:rPr>
                <w:rFonts w:ascii="Arial" w:hAnsi="Arial" w:cs="Arial"/>
                <w:sz w:val="24"/>
                <w:szCs w:val="24"/>
              </w:rPr>
              <w:t xml:space="preserve">The Amending Regulation identifies those entities whose listings were annulled by the General Court, and relists 33 entities. </w:t>
            </w:r>
          </w:p>
          <w:p w:rsidR="00DF082F" w:rsidRPr="00DF082F" w:rsidRDefault="00DF082F" w:rsidP="00DF082F">
            <w:pPr>
              <w:pStyle w:val="ListParagraph"/>
              <w:rPr>
                <w:rFonts w:ascii="Arial" w:hAnsi="Arial" w:cs="Arial"/>
                <w:sz w:val="24"/>
                <w:szCs w:val="24"/>
              </w:rPr>
            </w:pPr>
          </w:p>
          <w:p w:rsidR="00DF082F" w:rsidRPr="00DF082F" w:rsidRDefault="007D5FA7" w:rsidP="00DF082F">
            <w:pPr>
              <w:spacing w:after="0" w:line="240" w:lineRule="auto"/>
              <w:ind w:right="-90"/>
              <w:jc w:val="both"/>
              <w:rPr>
                <w:rFonts w:ascii="Arial" w:hAnsi="Arial" w:cs="Arial"/>
                <w:b/>
                <w:sz w:val="24"/>
                <w:szCs w:val="24"/>
              </w:rPr>
            </w:pPr>
            <w:r w:rsidRPr="00DF082F">
              <w:rPr>
                <w:rFonts w:ascii="Arial" w:hAnsi="Arial" w:cs="Arial"/>
                <w:b/>
                <w:sz w:val="24"/>
                <w:szCs w:val="24"/>
              </w:rPr>
              <w:lastRenderedPageBreak/>
              <w:t xml:space="preserve">Further Information </w:t>
            </w:r>
          </w:p>
          <w:p w:rsidR="00DF082F" w:rsidRPr="00DF082F" w:rsidRDefault="00DF082F" w:rsidP="00DF082F">
            <w:pPr>
              <w:spacing w:after="0" w:line="240" w:lineRule="auto"/>
              <w:ind w:right="-90"/>
              <w:jc w:val="both"/>
              <w:rPr>
                <w:rFonts w:ascii="Arial" w:hAnsi="Arial" w:cs="Arial"/>
                <w:sz w:val="24"/>
                <w:szCs w:val="24"/>
              </w:rPr>
            </w:pPr>
          </w:p>
          <w:p w:rsidR="00DF082F" w:rsidRPr="00DF082F" w:rsidRDefault="007D5FA7" w:rsidP="00DF082F">
            <w:pPr>
              <w:pStyle w:val="ListParagraph"/>
              <w:numPr>
                <w:ilvl w:val="0"/>
                <w:numId w:val="17"/>
              </w:numPr>
              <w:spacing w:after="0" w:line="240" w:lineRule="auto"/>
              <w:ind w:right="-90"/>
              <w:jc w:val="both"/>
              <w:rPr>
                <w:rFonts w:ascii="Arial" w:hAnsi="Arial" w:cs="Arial"/>
                <w:sz w:val="24"/>
                <w:szCs w:val="24"/>
              </w:rPr>
            </w:pPr>
            <w:r w:rsidRPr="00DF082F">
              <w:rPr>
                <w:rFonts w:ascii="Arial" w:hAnsi="Arial" w:cs="Arial"/>
                <w:sz w:val="24"/>
                <w:szCs w:val="24"/>
              </w:rPr>
              <w:t xml:space="preserve">A copy of the Amending Regulation can be obtained from the website of the Official Journal of the European Union: </w:t>
            </w:r>
          </w:p>
          <w:p w:rsidR="00DF082F" w:rsidRDefault="00DF082F" w:rsidP="00DF082F">
            <w:pPr>
              <w:pStyle w:val="ListParagraph"/>
              <w:spacing w:after="0" w:line="240" w:lineRule="auto"/>
              <w:ind w:right="-90"/>
              <w:jc w:val="both"/>
              <w:rPr>
                <w:rFonts w:ascii="Arial" w:hAnsi="Arial" w:cs="Arial"/>
                <w:sz w:val="24"/>
                <w:szCs w:val="24"/>
              </w:rPr>
            </w:pPr>
            <w:hyperlink r:id="rId10" w:history="1">
              <w:r w:rsidRPr="00CF18A2">
                <w:rPr>
                  <w:rStyle w:val="Hyperlink"/>
                  <w:rFonts w:ascii="Arial" w:hAnsi="Arial" w:cs="Arial"/>
                  <w:sz w:val="24"/>
                  <w:szCs w:val="24"/>
                </w:rPr>
                <w:t>http://eur-lex.europa.eu/legal-content/EN/TXT/PDF/?uri=OJ:L:2015:092:FULL&amp;from=EN</w:t>
              </w:r>
            </w:hyperlink>
          </w:p>
          <w:p w:rsidR="00DF082F" w:rsidRDefault="00DF082F" w:rsidP="00DF082F">
            <w:pPr>
              <w:pStyle w:val="ListParagraph"/>
              <w:spacing w:after="0" w:line="240" w:lineRule="auto"/>
              <w:ind w:right="-90"/>
              <w:jc w:val="both"/>
              <w:rPr>
                <w:rFonts w:ascii="Arial" w:hAnsi="Arial" w:cs="Arial"/>
                <w:sz w:val="24"/>
                <w:szCs w:val="24"/>
              </w:rPr>
            </w:pPr>
          </w:p>
          <w:p w:rsidR="00DF082F" w:rsidRDefault="007D5FA7" w:rsidP="00DF082F">
            <w:pPr>
              <w:pStyle w:val="ListParagraph"/>
              <w:numPr>
                <w:ilvl w:val="0"/>
                <w:numId w:val="17"/>
              </w:numPr>
              <w:spacing w:after="0" w:line="240" w:lineRule="auto"/>
              <w:ind w:right="-90"/>
              <w:jc w:val="both"/>
              <w:rPr>
                <w:rFonts w:ascii="Arial" w:hAnsi="Arial" w:cs="Arial"/>
                <w:sz w:val="24"/>
                <w:szCs w:val="24"/>
              </w:rPr>
            </w:pPr>
            <w:r w:rsidRPr="00DF082F">
              <w:rPr>
                <w:rFonts w:ascii="Arial" w:hAnsi="Arial" w:cs="Arial"/>
                <w:sz w:val="24"/>
                <w:szCs w:val="24"/>
              </w:rPr>
              <w:t xml:space="preserve">Copies of relevant Releases, certain EU Regulations, and UK legislation can be obtained from the Iran (Nuclear Proliferation0 Financial Sanctions page on the GOV.UK website: </w:t>
            </w:r>
          </w:p>
          <w:p w:rsidR="00DF082F" w:rsidRDefault="00DF082F" w:rsidP="00DF082F">
            <w:pPr>
              <w:pStyle w:val="ListParagraph"/>
              <w:spacing w:after="0" w:line="240" w:lineRule="auto"/>
              <w:ind w:right="-90"/>
              <w:jc w:val="both"/>
              <w:rPr>
                <w:rFonts w:ascii="Arial" w:hAnsi="Arial" w:cs="Arial"/>
                <w:sz w:val="24"/>
                <w:szCs w:val="24"/>
              </w:rPr>
            </w:pPr>
            <w:hyperlink r:id="rId11" w:history="1">
              <w:r w:rsidRPr="00CF18A2">
                <w:rPr>
                  <w:rStyle w:val="Hyperlink"/>
                  <w:rFonts w:ascii="Arial" w:hAnsi="Arial" w:cs="Arial"/>
                  <w:sz w:val="24"/>
                  <w:szCs w:val="24"/>
                </w:rPr>
                <w:t>https://www.gov.uk/government/collections/financial-sanctions-regime-specificconsolidated-lists-and-releases</w:t>
              </w:r>
            </w:hyperlink>
          </w:p>
          <w:p w:rsidR="00DF082F" w:rsidRDefault="00DF082F" w:rsidP="00DF082F">
            <w:pPr>
              <w:pStyle w:val="ListParagraph"/>
              <w:spacing w:after="0" w:line="240" w:lineRule="auto"/>
              <w:ind w:right="-90"/>
              <w:jc w:val="both"/>
              <w:rPr>
                <w:rFonts w:ascii="Arial" w:hAnsi="Arial" w:cs="Arial"/>
                <w:sz w:val="24"/>
                <w:szCs w:val="24"/>
              </w:rPr>
            </w:pPr>
          </w:p>
          <w:p w:rsidR="00DF082F" w:rsidRDefault="007D5FA7" w:rsidP="00DF082F">
            <w:pPr>
              <w:pStyle w:val="ListParagraph"/>
              <w:numPr>
                <w:ilvl w:val="0"/>
                <w:numId w:val="17"/>
              </w:numPr>
              <w:spacing w:after="0" w:line="240" w:lineRule="auto"/>
              <w:ind w:right="-90"/>
              <w:jc w:val="both"/>
              <w:rPr>
                <w:rFonts w:ascii="Arial" w:hAnsi="Arial" w:cs="Arial"/>
                <w:sz w:val="24"/>
                <w:szCs w:val="24"/>
              </w:rPr>
            </w:pPr>
            <w:r w:rsidRPr="00DF082F">
              <w:rPr>
                <w:rFonts w:ascii="Arial" w:hAnsi="Arial" w:cs="Arial"/>
                <w:sz w:val="24"/>
                <w:szCs w:val="24"/>
              </w:rPr>
              <w:t xml:space="preserve">Please see the FAQs for more information around financial sanctions: </w:t>
            </w:r>
          </w:p>
          <w:p w:rsidR="00DF082F" w:rsidRDefault="00DF082F" w:rsidP="00DF082F">
            <w:pPr>
              <w:pStyle w:val="ListParagraph"/>
              <w:spacing w:after="0" w:line="240" w:lineRule="auto"/>
              <w:ind w:right="-90"/>
              <w:jc w:val="both"/>
              <w:rPr>
                <w:rFonts w:ascii="Arial" w:hAnsi="Arial" w:cs="Arial"/>
                <w:sz w:val="24"/>
                <w:szCs w:val="24"/>
              </w:rPr>
            </w:pPr>
            <w:hyperlink r:id="rId12" w:history="1">
              <w:r w:rsidRPr="00CF18A2">
                <w:rPr>
                  <w:rStyle w:val="Hyperlink"/>
                  <w:rFonts w:ascii="Arial" w:hAnsi="Arial" w:cs="Arial"/>
                  <w:sz w:val="24"/>
                  <w:szCs w:val="24"/>
                </w:rPr>
                <w:t>https://www.gov.uk/government/publications/financial-sanctions-faqs</w:t>
              </w:r>
            </w:hyperlink>
          </w:p>
          <w:p w:rsidR="007D5FA7" w:rsidRPr="00DF082F" w:rsidRDefault="007D5FA7" w:rsidP="00DF082F">
            <w:pPr>
              <w:pStyle w:val="ListParagraph"/>
              <w:spacing w:after="0" w:line="240" w:lineRule="auto"/>
              <w:ind w:right="-90"/>
              <w:jc w:val="both"/>
              <w:rPr>
                <w:rFonts w:ascii="Arial" w:hAnsi="Arial" w:cs="Arial"/>
                <w:sz w:val="24"/>
                <w:szCs w:val="24"/>
              </w:rPr>
            </w:pPr>
            <w:r w:rsidRPr="00DF082F">
              <w:rPr>
                <w:rFonts w:ascii="Arial" w:hAnsi="Arial" w:cs="Arial"/>
                <w:sz w:val="24"/>
                <w:szCs w:val="24"/>
              </w:rPr>
              <w:t xml:space="preserve"> </w:t>
            </w:r>
          </w:p>
          <w:p w:rsidR="007D5FA7" w:rsidRPr="007D5FA7" w:rsidRDefault="007D5FA7" w:rsidP="00306E67">
            <w:pPr>
              <w:spacing w:after="0" w:line="240" w:lineRule="auto"/>
              <w:ind w:right="-90"/>
              <w:jc w:val="both"/>
              <w:rPr>
                <w:rFonts w:ascii="Arial" w:hAnsi="Arial" w:cs="Arial"/>
                <w:b/>
                <w:sz w:val="24"/>
                <w:szCs w:val="24"/>
              </w:rPr>
            </w:pPr>
          </w:p>
          <w:p w:rsidR="00D2219F" w:rsidRPr="007D5FA7" w:rsidRDefault="00D2219F" w:rsidP="00306E67">
            <w:pPr>
              <w:spacing w:after="0" w:line="240" w:lineRule="auto"/>
              <w:ind w:right="-90"/>
              <w:jc w:val="both"/>
              <w:rPr>
                <w:rFonts w:ascii="Arial" w:hAnsi="Arial" w:cs="Arial"/>
                <w:b/>
                <w:sz w:val="24"/>
                <w:szCs w:val="24"/>
              </w:rPr>
            </w:pPr>
            <w:r w:rsidRPr="007D5FA7">
              <w:rPr>
                <w:rFonts w:ascii="Arial" w:hAnsi="Arial" w:cs="Arial"/>
                <w:b/>
                <w:sz w:val="24"/>
                <w:szCs w:val="24"/>
              </w:rPr>
              <w:t>Enquiries/Contact Details</w:t>
            </w:r>
          </w:p>
          <w:p w:rsidR="00D2219F" w:rsidRPr="007D5FA7" w:rsidRDefault="00D2219F" w:rsidP="00D2219F">
            <w:pPr>
              <w:spacing w:after="0" w:line="240" w:lineRule="auto"/>
              <w:ind w:right="-90"/>
              <w:jc w:val="both"/>
              <w:rPr>
                <w:rFonts w:ascii="Arial" w:hAnsi="Arial" w:cs="Arial"/>
                <w:sz w:val="24"/>
                <w:szCs w:val="24"/>
              </w:rPr>
            </w:pPr>
          </w:p>
          <w:p w:rsidR="00D2219F" w:rsidRPr="007D5FA7" w:rsidRDefault="00D2219F" w:rsidP="00DF082F">
            <w:pPr>
              <w:pStyle w:val="ListParagraph"/>
              <w:numPr>
                <w:ilvl w:val="0"/>
                <w:numId w:val="17"/>
              </w:numPr>
              <w:spacing w:after="0" w:line="240" w:lineRule="auto"/>
              <w:ind w:right="-90"/>
              <w:jc w:val="both"/>
              <w:rPr>
                <w:rFonts w:ascii="Arial" w:hAnsi="Arial" w:cs="Arial"/>
                <w:sz w:val="24"/>
                <w:szCs w:val="24"/>
              </w:rPr>
            </w:pPr>
            <w:r w:rsidRPr="007D5FA7">
              <w:rPr>
                <w:rFonts w:ascii="Arial" w:hAnsi="Arial" w:cs="Arial"/>
                <w:sz w:val="24"/>
                <w:szCs w:val="24"/>
              </w:rPr>
              <w:t>Non-media enquiries should be addressed to:</w:t>
            </w:r>
          </w:p>
          <w:p w:rsidR="00D2219F" w:rsidRPr="007D5FA7" w:rsidRDefault="00D2219F" w:rsidP="00D2219F">
            <w:pPr>
              <w:spacing w:after="0" w:line="240" w:lineRule="auto"/>
              <w:ind w:right="-90"/>
              <w:jc w:val="both"/>
              <w:rPr>
                <w:rFonts w:ascii="Arial" w:hAnsi="Arial" w:cs="Arial"/>
                <w:sz w:val="24"/>
                <w:szCs w:val="24"/>
              </w:rPr>
            </w:pP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The Commissioner</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Financial Services Commission</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Phoenix House</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Brades, MSR1110</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Montserrat</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 xml:space="preserve">Email: </w:t>
            </w:r>
            <w:hyperlink r:id="rId13" w:history="1">
              <w:r w:rsidRPr="007D5FA7">
                <w:rPr>
                  <w:rStyle w:val="Hyperlink"/>
                  <w:rFonts w:ascii="Arial" w:hAnsi="Arial" w:cs="Arial"/>
                  <w:sz w:val="24"/>
                  <w:szCs w:val="24"/>
                </w:rPr>
                <w:t>fscmrat@candw.ms</w:t>
              </w:r>
            </w:hyperlink>
          </w:p>
          <w:p w:rsidR="00D2219F" w:rsidRDefault="00D2219F" w:rsidP="00D2219F">
            <w:pPr>
              <w:pStyle w:val="ListParagraph"/>
              <w:rPr>
                <w:rFonts w:ascii="Arial" w:hAnsi="Arial" w:cs="Arial"/>
                <w:sz w:val="24"/>
                <w:szCs w:val="24"/>
              </w:rPr>
            </w:pPr>
          </w:p>
          <w:p w:rsidR="00DF082F" w:rsidRPr="007D5FA7" w:rsidRDefault="00DF082F" w:rsidP="00D2219F">
            <w:pPr>
              <w:pStyle w:val="ListParagraph"/>
              <w:rPr>
                <w:rFonts w:ascii="Arial" w:hAnsi="Arial" w:cs="Arial"/>
                <w:sz w:val="24"/>
                <w:szCs w:val="24"/>
              </w:rPr>
            </w:pPr>
          </w:p>
          <w:p w:rsidR="00D2219F" w:rsidRPr="007D5FA7" w:rsidRDefault="00D2219F" w:rsidP="00D2219F">
            <w:pPr>
              <w:spacing w:after="0" w:line="240" w:lineRule="auto"/>
              <w:ind w:right="-90"/>
              <w:jc w:val="both"/>
              <w:rPr>
                <w:rFonts w:ascii="Arial" w:hAnsi="Arial" w:cs="Arial"/>
                <w:b/>
                <w:sz w:val="24"/>
                <w:szCs w:val="24"/>
              </w:rPr>
            </w:pPr>
          </w:p>
          <w:p w:rsidR="00D2219F" w:rsidRPr="007D5FA7" w:rsidRDefault="00D2219F" w:rsidP="00D2219F">
            <w:pPr>
              <w:pStyle w:val="ListParagraph"/>
              <w:spacing w:after="0" w:line="240" w:lineRule="auto"/>
              <w:ind w:right="-90"/>
              <w:jc w:val="both"/>
              <w:rPr>
                <w:rFonts w:ascii="Arial" w:hAnsi="Arial" w:cs="Arial"/>
                <w:sz w:val="24"/>
                <w:szCs w:val="24"/>
              </w:rPr>
            </w:pPr>
          </w:p>
          <w:p w:rsidR="00D2219F" w:rsidRPr="007D5FA7" w:rsidRDefault="00D2219F" w:rsidP="00D2219F">
            <w:pPr>
              <w:spacing w:after="0" w:line="240" w:lineRule="auto"/>
              <w:ind w:right="-90"/>
              <w:jc w:val="both"/>
              <w:rPr>
                <w:rFonts w:ascii="Arial" w:hAnsi="Arial" w:cs="Arial"/>
                <w:b/>
                <w:sz w:val="24"/>
                <w:szCs w:val="24"/>
              </w:rPr>
            </w:pPr>
            <w:r w:rsidRPr="007D5FA7">
              <w:rPr>
                <w:rFonts w:ascii="Arial" w:hAnsi="Arial" w:cs="Arial"/>
                <w:b/>
                <w:sz w:val="24"/>
                <w:szCs w:val="24"/>
              </w:rPr>
              <w:t>Financial Services Commission</w:t>
            </w:r>
          </w:p>
          <w:p w:rsidR="00D2219F" w:rsidRPr="007D5FA7" w:rsidRDefault="00306E67" w:rsidP="00D2219F">
            <w:pPr>
              <w:spacing w:after="0" w:line="240" w:lineRule="auto"/>
              <w:ind w:right="-90"/>
              <w:jc w:val="both"/>
              <w:rPr>
                <w:rFonts w:ascii="Arial" w:hAnsi="Arial" w:cs="Arial"/>
                <w:sz w:val="24"/>
                <w:szCs w:val="24"/>
              </w:rPr>
            </w:pPr>
            <w:r w:rsidRPr="007D5FA7">
              <w:rPr>
                <w:rFonts w:ascii="Arial" w:hAnsi="Arial" w:cs="Arial"/>
                <w:b/>
                <w:sz w:val="24"/>
                <w:szCs w:val="24"/>
              </w:rPr>
              <w:t>09/04</w:t>
            </w:r>
            <w:r w:rsidR="00D2219F" w:rsidRPr="007D5FA7">
              <w:rPr>
                <w:rFonts w:ascii="Arial" w:hAnsi="Arial" w:cs="Arial"/>
                <w:b/>
                <w:sz w:val="24"/>
                <w:szCs w:val="24"/>
              </w:rPr>
              <w:t>/2015</w:t>
            </w:r>
          </w:p>
          <w:p w:rsidR="00D2219F" w:rsidRDefault="00D2219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Pr="007D5FA7" w:rsidRDefault="00DF082F" w:rsidP="00D2219F">
            <w:pPr>
              <w:pStyle w:val="ListParagraph"/>
              <w:spacing w:after="0" w:line="240" w:lineRule="auto"/>
              <w:ind w:right="-90"/>
              <w:jc w:val="both"/>
              <w:rPr>
                <w:rFonts w:ascii="Arial" w:hAnsi="Arial" w:cs="Arial"/>
                <w:sz w:val="24"/>
                <w:szCs w:val="24"/>
              </w:rPr>
            </w:pPr>
          </w:p>
          <w:p w:rsidR="00E769D8" w:rsidRPr="007D5FA7" w:rsidRDefault="00E769D8" w:rsidP="00E769D8">
            <w:pPr>
              <w:spacing w:after="0" w:line="240" w:lineRule="auto"/>
              <w:ind w:right="-90"/>
              <w:rPr>
                <w:rFonts w:ascii="Arial" w:hAnsi="Arial" w:cs="Arial"/>
                <w:b/>
                <w:sz w:val="24"/>
                <w:szCs w:val="24"/>
                <w:u w:val="single"/>
              </w:rPr>
            </w:pPr>
          </w:p>
          <w:p w:rsidR="0013147B" w:rsidRPr="007D5FA7" w:rsidRDefault="0013147B" w:rsidP="00E769D8">
            <w:pPr>
              <w:spacing w:after="0" w:line="240" w:lineRule="auto"/>
              <w:ind w:right="-90"/>
              <w:rPr>
                <w:rFonts w:ascii="Arial" w:hAnsi="Arial" w:cs="Arial"/>
                <w:b/>
                <w:sz w:val="24"/>
                <w:szCs w:val="24"/>
                <w:u w:val="single"/>
              </w:rPr>
            </w:pPr>
          </w:p>
          <w:p w:rsidR="00C24089" w:rsidRPr="00C24089" w:rsidRDefault="007D5FA7" w:rsidP="00C24089">
            <w:pPr>
              <w:spacing w:after="0" w:line="240" w:lineRule="auto"/>
              <w:ind w:right="-90"/>
              <w:jc w:val="center"/>
              <w:rPr>
                <w:rFonts w:ascii="Arial" w:hAnsi="Arial" w:cs="Arial"/>
                <w:b/>
                <w:sz w:val="24"/>
                <w:szCs w:val="24"/>
              </w:rPr>
            </w:pPr>
            <w:r w:rsidRPr="00C24089">
              <w:rPr>
                <w:rFonts w:ascii="Arial" w:hAnsi="Arial" w:cs="Arial"/>
                <w:b/>
                <w:sz w:val="24"/>
                <w:szCs w:val="24"/>
              </w:rPr>
              <w:lastRenderedPageBreak/>
              <w:t>ANNEX TO NOTICE</w:t>
            </w:r>
          </w:p>
          <w:p w:rsidR="00C24089" w:rsidRPr="00C24089" w:rsidRDefault="00C24089" w:rsidP="00C24089">
            <w:pPr>
              <w:spacing w:after="0" w:line="240" w:lineRule="auto"/>
              <w:ind w:right="-90"/>
              <w:jc w:val="center"/>
              <w:rPr>
                <w:rFonts w:ascii="Arial" w:hAnsi="Arial" w:cs="Arial"/>
                <w:b/>
                <w:sz w:val="24"/>
                <w:szCs w:val="24"/>
              </w:rPr>
            </w:pPr>
          </w:p>
          <w:p w:rsidR="00C24089" w:rsidRPr="00C24089" w:rsidRDefault="007D5FA7" w:rsidP="00C24089">
            <w:pPr>
              <w:spacing w:after="0" w:line="240" w:lineRule="auto"/>
              <w:ind w:right="-90"/>
              <w:jc w:val="center"/>
              <w:rPr>
                <w:rFonts w:ascii="Arial" w:hAnsi="Arial" w:cs="Arial"/>
                <w:b/>
                <w:sz w:val="24"/>
                <w:szCs w:val="24"/>
              </w:rPr>
            </w:pPr>
            <w:r w:rsidRPr="00C24089">
              <w:rPr>
                <w:rFonts w:ascii="Arial" w:hAnsi="Arial" w:cs="Arial"/>
                <w:b/>
                <w:sz w:val="24"/>
                <w:szCs w:val="24"/>
              </w:rPr>
              <w:t>FINANCIAL SANCTIONS: IRAN (NUCLEAR PROLIFERATION)</w:t>
            </w:r>
          </w:p>
          <w:p w:rsidR="00C24089" w:rsidRPr="00C24089" w:rsidRDefault="00C24089" w:rsidP="00C24089">
            <w:pPr>
              <w:spacing w:after="0" w:line="240" w:lineRule="auto"/>
              <w:ind w:right="-90"/>
              <w:jc w:val="center"/>
              <w:rPr>
                <w:rFonts w:ascii="Arial" w:hAnsi="Arial" w:cs="Arial"/>
                <w:b/>
                <w:sz w:val="24"/>
                <w:szCs w:val="24"/>
              </w:rPr>
            </w:pPr>
          </w:p>
          <w:p w:rsidR="00C24089" w:rsidRPr="00C24089" w:rsidRDefault="007D5FA7" w:rsidP="00C24089">
            <w:pPr>
              <w:spacing w:after="0" w:line="240" w:lineRule="auto"/>
              <w:ind w:right="-90"/>
              <w:jc w:val="center"/>
              <w:rPr>
                <w:rFonts w:ascii="Arial" w:hAnsi="Arial" w:cs="Arial"/>
                <w:b/>
                <w:sz w:val="24"/>
                <w:szCs w:val="24"/>
              </w:rPr>
            </w:pPr>
            <w:r w:rsidRPr="00C24089">
              <w:rPr>
                <w:rFonts w:ascii="Arial" w:hAnsi="Arial" w:cs="Arial"/>
                <w:b/>
                <w:sz w:val="24"/>
                <w:szCs w:val="24"/>
              </w:rPr>
              <w:t>COUNCIL IMPLEMENTING REGULATION (EU) No 2015/549</w:t>
            </w:r>
          </w:p>
          <w:p w:rsidR="00C24089" w:rsidRPr="00C24089" w:rsidRDefault="00C24089" w:rsidP="00C24089">
            <w:pPr>
              <w:spacing w:after="0" w:line="240" w:lineRule="auto"/>
              <w:ind w:right="-90"/>
              <w:jc w:val="center"/>
              <w:rPr>
                <w:rFonts w:ascii="Arial" w:hAnsi="Arial" w:cs="Arial"/>
                <w:b/>
                <w:sz w:val="24"/>
                <w:szCs w:val="24"/>
              </w:rPr>
            </w:pPr>
          </w:p>
          <w:p w:rsidR="00C24089" w:rsidRPr="00C24089" w:rsidRDefault="007D5FA7" w:rsidP="00C24089">
            <w:pPr>
              <w:spacing w:after="0" w:line="240" w:lineRule="auto"/>
              <w:ind w:right="-90"/>
              <w:jc w:val="center"/>
              <w:rPr>
                <w:rFonts w:ascii="Arial" w:hAnsi="Arial" w:cs="Arial"/>
                <w:b/>
                <w:sz w:val="24"/>
                <w:szCs w:val="24"/>
              </w:rPr>
            </w:pPr>
            <w:r w:rsidRPr="00C24089">
              <w:rPr>
                <w:rFonts w:ascii="Arial" w:hAnsi="Arial" w:cs="Arial"/>
                <w:b/>
                <w:sz w:val="24"/>
                <w:szCs w:val="24"/>
              </w:rPr>
              <w:t>AMENDING ANNEX IX TO COUNCIL REGULATION (EU) No 267/2012</w:t>
            </w:r>
          </w:p>
          <w:p w:rsidR="00C24089" w:rsidRDefault="00C24089" w:rsidP="00C24089">
            <w:pPr>
              <w:spacing w:after="0" w:line="240" w:lineRule="auto"/>
              <w:ind w:right="-90"/>
              <w:jc w:val="center"/>
              <w:rPr>
                <w:rFonts w:ascii="Arial" w:hAnsi="Arial" w:cs="Arial"/>
                <w:b/>
                <w:sz w:val="24"/>
                <w:szCs w:val="24"/>
              </w:rPr>
            </w:pPr>
          </w:p>
          <w:p w:rsidR="00C24089" w:rsidRPr="00C24089" w:rsidRDefault="00C24089" w:rsidP="00C24089">
            <w:pPr>
              <w:spacing w:after="0" w:line="240" w:lineRule="auto"/>
              <w:ind w:right="-90"/>
              <w:jc w:val="center"/>
              <w:rPr>
                <w:rFonts w:ascii="Arial" w:hAnsi="Arial" w:cs="Arial"/>
                <w:b/>
                <w:sz w:val="24"/>
                <w:szCs w:val="24"/>
              </w:rPr>
            </w:pPr>
          </w:p>
          <w:p w:rsidR="00C24089" w:rsidRPr="00C24089" w:rsidRDefault="007D5FA7" w:rsidP="00C24089">
            <w:pPr>
              <w:spacing w:after="0" w:line="240" w:lineRule="auto"/>
              <w:ind w:right="-90"/>
              <w:rPr>
                <w:rFonts w:ascii="Arial" w:hAnsi="Arial" w:cs="Arial"/>
                <w:b/>
                <w:sz w:val="24"/>
                <w:szCs w:val="24"/>
              </w:rPr>
            </w:pPr>
            <w:r w:rsidRPr="00C24089">
              <w:rPr>
                <w:rFonts w:ascii="Arial" w:hAnsi="Arial" w:cs="Arial"/>
                <w:b/>
                <w:sz w:val="24"/>
                <w:szCs w:val="24"/>
              </w:rPr>
              <w:t>DELISTINGS</w:t>
            </w:r>
          </w:p>
          <w:p w:rsidR="00C24089" w:rsidRPr="00C24089" w:rsidRDefault="00C24089" w:rsidP="00C24089">
            <w:pPr>
              <w:spacing w:after="0" w:line="240" w:lineRule="auto"/>
              <w:ind w:right="-90"/>
              <w:jc w:val="center"/>
              <w:rPr>
                <w:rFonts w:ascii="Arial" w:hAnsi="Arial" w:cs="Arial"/>
                <w:b/>
                <w:sz w:val="24"/>
                <w:szCs w:val="24"/>
              </w:rPr>
            </w:pPr>
          </w:p>
          <w:p w:rsidR="00C24089" w:rsidRPr="00C24089" w:rsidRDefault="007D5FA7" w:rsidP="00C24089">
            <w:pPr>
              <w:spacing w:after="0" w:line="240" w:lineRule="auto"/>
              <w:ind w:right="-90"/>
              <w:rPr>
                <w:rFonts w:ascii="Arial" w:hAnsi="Arial" w:cs="Arial"/>
                <w:b/>
                <w:sz w:val="24"/>
                <w:szCs w:val="24"/>
                <w:u w:val="single"/>
              </w:rPr>
            </w:pPr>
            <w:r w:rsidRPr="00C24089">
              <w:rPr>
                <w:rFonts w:ascii="Arial" w:hAnsi="Arial" w:cs="Arial"/>
                <w:b/>
                <w:sz w:val="24"/>
                <w:szCs w:val="24"/>
                <w:u w:val="single"/>
              </w:rPr>
              <w:t>Entities</w:t>
            </w:r>
          </w:p>
          <w:p w:rsidR="00C24089" w:rsidRDefault="00C24089" w:rsidP="007D5FA7">
            <w:pPr>
              <w:spacing w:after="0" w:line="240" w:lineRule="auto"/>
              <w:ind w:right="-90"/>
              <w:jc w:val="both"/>
              <w:rPr>
                <w:rFonts w:ascii="Arial" w:hAnsi="Arial" w:cs="Arial"/>
                <w:sz w:val="24"/>
                <w:szCs w:val="24"/>
              </w:rPr>
            </w:pPr>
          </w:p>
          <w:p w:rsidR="00531799" w:rsidRPr="00531799" w:rsidRDefault="007D5FA7" w:rsidP="00531799">
            <w:pPr>
              <w:pStyle w:val="ListParagraph"/>
              <w:numPr>
                <w:ilvl w:val="0"/>
                <w:numId w:val="19"/>
              </w:numPr>
              <w:spacing w:after="0" w:line="240" w:lineRule="auto"/>
              <w:ind w:right="-90"/>
              <w:jc w:val="both"/>
              <w:rPr>
                <w:rFonts w:ascii="Arial" w:hAnsi="Arial" w:cs="Arial"/>
                <w:b/>
                <w:sz w:val="24"/>
                <w:szCs w:val="24"/>
              </w:rPr>
            </w:pPr>
            <w:r w:rsidRPr="00531799">
              <w:rPr>
                <w:rFonts w:ascii="Arial" w:hAnsi="Arial" w:cs="Arial"/>
                <w:b/>
                <w:sz w:val="24"/>
                <w:szCs w:val="24"/>
              </w:rPr>
              <w:t xml:space="preserve">KERMAN SHIPPING COMPANY LTD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Address: 143/1 Tower Road, </w:t>
            </w:r>
            <w:proofErr w:type="spellStart"/>
            <w:r w:rsidRPr="00531799">
              <w:rPr>
                <w:rFonts w:ascii="Arial" w:hAnsi="Arial" w:cs="Arial"/>
                <w:sz w:val="24"/>
                <w:szCs w:val="24"/>
              </w:rPr>
              <w:t>Sliema</w:t>
            </w:r>
            <w:proofErr w:type="spellEnd"/>
            <w:r w:rsidRPr="00531799">
              <w:rPr>
                <w:rFonts w:ascii="Arial" w:hAnsi="Arial" w:cs="Arial"/>
                <w:sz w:val="24"/>
                <w:szCs w:val="24"/>
              </w:rPr>
              <w:t xml:space="preserve">, Malta, SLM 1604.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Other Information: EU listing. Not UN. Wholly-owned subsidiary of IRISL. C37423, incorporated in Malta in 2005. IMO No 9209350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Listed on: 24/05/2011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Last Updated: 09/04/2015 </w:t>
            </w:r>
          </w:p>
          <w:p w:rsidR="00531799" w:rsidRP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Group ID: 11565. </w:t>
            </w:r>
          </w:p>
          <w:p w:rsidR="00531799" w:rsidRDefault="00531799" w:rsidP="007D5FA7">
            <w:pPr>
              <w:spacing w:after="0" w:line="240" w:lineRule="auto"/>
              <w:ind w:right="-90"/>
              <w:jc w:val="both"/>
              <w:rPr>
                <w:rFonts w:ascii="Arial" w:hAnsi="Arial" w:cs="Arial"/>
                <w:sz w:val="24"/>
                <w:szCs w:val="24"/>
              </w:rPr>
            </w:pPr>
          </w:p>
          <w:p w:rsidR="00531799" w:rsidRPr="00531799" w:rsidRDefault="007D5FA7" w:rsidP="00531799">
            <w:pPr>
              <w:pStyle w:val="ListParagraph"/>
              <w:numPr>
                <w:ilvl w:val="0"/>
                <w:numId w:val="19"/>
              </w:numPr>
              <w:spacing w:after="0" w:line="240" w:lineRule="auto"/>
              <w:ind w:right="-90"/>
              <w:jc w:val="both"/>
              <w:rPr>
                <w:rFonts w:ascii="Arial" w:hAnsi="Arial" w:cs="Arial"/>
                <w:b/>
                <w:sz w:val="24"/>
                <w:szCs w:val="24"/>
              </w:rPr>
            </w:pPr>
            <w:r w:rsidRPr="00531799">
              <w:rPr>
                <w:rFonts w:ascii="Arial" w:hAnsi="Arial" w:cs="Arial"/>
                <w:b/>
                <w:sz w:val="24"/>
                <w:szCs w:val="24"/>
              </w:rPr>
              <w:t xml:space="preserve">LANCELIN SHIPPING COMPANY LTD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Address: Fortuna Court, Block B, 284 </w:t>
            </w:r>
            <w:proofErr w:type="spellStart"/>
            <w:r w:rsidRPr="00531799">
              <w:rPr>
                <w:rFonts w:ascii="Arial" w:hAnsi="Arial" w:cs="Arial"/>
                <w:sz w:val="24"/>
                <w:szCs w:val="24"/>
              </w:rPr>
              <w:t>Archiepiskopou</w:t>
            </w:r>
            <w:proofErr w:type="spellEnd"/>
            <w:r w:rsidRPr="00531799">
              <w:rPr>
                <w:rFonts w:ascii="Arial" w:hAnsi="Arial" w:cs="Arial"/>
                <w:sz w:val="24"/>
                <w:szCs w:val="24"/>
              </w:rPr>
              <w:t xml:space="preserve"> </w:t>
            </w:r>
            <w:proofErr w:type="spellStart"/>
            <w:r w:rsidRPr="00531799">
              <w:rPr>
                <w:rFonts w:ascii="Arial" w:hAnsi="Arial" w:cs="Arial"/>
                <w:sz w:val="24"/>
                <w:szCs w:val="24"/>
              </w:rPr>
              <w:t>Makariou</w:t>
            </w:r>
            <w:proofErr w:type="spellEnd"/>
            <w:r w:rsidRPr="00531799">
              <w:rPr>
                <w:rFonts w:ascii="Arial" w:hAnsi="Arial" w:cs="Arial"/>
                <w:sz w:val="24"/>
                <w:szCs w:val="24"/>
              </w:rPr>
              <w:t xml:space="preserve"> C' Avenue, 2nd Floor, </w:t>
            </w:r>
            <w:proofErr w:type="spellStart"/>
            <w:r w:rsidRPr="00531799">
              <w:rPr>
                <w:rFonts w:ascii="Arial" w:hAnsi="Arial" w:cs="Arial"/>
                <w:sz w:val="24"/>
                <w:szCs w:val="24"/>
              </w:rPr>
              <w:t>Limassol</w:t>
            </w:r>
            <w:proofErr w:type="spellEnd"/>
            <w:r w:rsidRPr="00531799">
              <w:rPr>
                <w:rFonts w:ascii="Arial" w:hAnsi="Arial" w:cs="Arial"/>
                <w:sz w:val="24"/>
                <w:szCs w:val="24"/>
              </w:rPr>
              <w:t xml:space="preserve">, Cyprus, 3105.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Other Information: EU listing. Not UN. </w:t>
            </w:r>
            <w:proofErr w:type="spellStart"/>
            <w:r w:rsidRPr="00531799">
              <w:rPr>
                <w:rFonts w:ascii="Arial" w:hAnsi="Arial" w:cs="Arial"/>
                <w:sz w:val="24"/>
                <w:szCs w:val="24"/>
              </w:rPr>
              <w:t>Whollyowned</w:t>
            </w:r>
            <w:proofErr w:type="spellEnd"/>
            <w:r w:rsidRPr="00531799">
              <w:rPr>
                <w:rFonts w:ascii="Arial" w:hAnsi="Arial" w:cs="Arial"/>
                <w:sz w:val="24"/>
                <w:szCs w:val="24"/>
              </w:rPr>
              <w:t xml:space="preserve"> by IRISL. Business Registration #C133993 (Cyprus), issued 2002. IMO No 9213387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Listed on: 24/05/2011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Last Updated: 09/04/2015 </w:t>
            </w:r>
          </w:p>
          <w:p w:rsidR="00531799" w:rsidRP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Group ID: 11571. </w:t>
            </w:r>
          </w:p>
          <w:p w:rsidR="00531799" w:rsidRDefault="00531799" w:rsidP="007D5FA7">
            <w:pPr>
              <w:spacing w:after="0" w:line="240" w:lineRule="auto"/>
              <w:ind w:right="-90"/>
              <w:jc w:val="both"/>
              <w:rPr>
                <w:rFonts w:ascii="Arial" w:hAnsi="Arial" w:cs="Arial"/>
                <w:sz w:val="24"/>
                <w:szCs w:val="24"/>
              </w:rPr>
            </w:pPr>
          </w:p>
          <w:p w:rsidR="00531799" w:rsidRPr="00531799" w:rsidRDefault="007D5FA7" w:rsidP="00531799">
            <w:pPr>
              <w:pStyle w:val="ListParagraph"/>
              <w:numPr>
                <w:ilvl w:val="0"/>
                <w:numId w:val="19"/>
              </w:numPr>
              <w:spacing w:after="0" w:line="240" w:lineRule="auto"/>
              <w:ind w:right="-90"/>
              <w:jc w:val="both"/>
              <w:rPr>
                <w:rFonts w:ascii="Arial" w:hAnsi="Arial" w:cs="Arial"/>
                <w:b/>
                <w:sz w:val="24"/>
                <w:szCs w:val="24"/>
              </w:rPr>
            </w:pPr>
            <w:r w:rsidRPr="00531799">
              <w:rPr>
                <w:rFonts w:ascii="Arial" w:hAnsi="Arial" w:cs="Arial"/>
                <w:b/>
                <w:sz w:val="24"/>
                <w:szCs w:val="24"/>
              </w:rPr>
              <w:t xml:space="preserve">SHERE SHIPPING COMPANY LIMITED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Address: 143/1 Tower Road, </w:t>
            </w:r>
            <w:proofErr w:type="spellStart"/>
            <w:r w:rsidRPr="00531799">
              <w:rPr>
                <w:rFonts w:ascii="Arial" w:hAnsi="Arial" w:cs="Arial"/>
                <w:sz w:val="24"/>
                <w:szCs w:val="24"/>
              </w:rPr>
              <w:t>Sliema</w:t>
            </w:r>
            <w:proofErr w:type="spellEnd"/>
            <w:r w:rsidRPr="00531799">
              <w:rPr>
                <w:rFonts w:ascii="Arial" w:hAnsi="Arial" w:cs="Arial"/>
                <w:sz w:val="24"/>
                <w:szCs w:val="24"/>
              </w:rPr>
              <w:t xml:space="preserve">, Malta, SLM1604.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Other Information: EU listing. Not UN. Wholly owned subsidiary of Woking Shipping Investments Ltd. IMO No 9305192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Listed on: 24/05/2011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Last Updated: 09/04/2015 </w:t>
            </w:r>
          </w:p>
          <w:p w:rsidR="00531799" w:rsidRP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Group ID: 11567. </w:t>
            </w:r>
          </w:p>
          <w:p w:rsidR="00531799" w:rsidRDefault="00531799" w:rsidP="007D5FA7">
            <w:pPr>
              <w:spacing w:after="0" w:line="240" w:lineRule="auto"/>
              <w:ind w:right="-90"/>
              <w:jc w:val="both"/>
              <w:rPr>
                <w:rFonts w:ascii="Arial" w:hAnsi="Arial" w:cs="Arial"/>
                <w:sz w:val="24"/>
                <w:szCs w:val="24"/>
              </w:rPr>
            </w:pPr>
          </w:p>
          <w:p w:rsidR="00531799" w:rsidRPr="00531799" w:rsidRDefault="007D5FA7" w:rsidP="00531799">
            <w:pPr>
              <w:pStyle w:val="ListParagraph"/>
              <w:numPr>
                <w:ilvl w:val="0"/>
                <w:numId w:val="19"/>
              </w:numPr>
              <w:spacing w:after="0" w:line="240" w:lineRule="auto"/>
              <w:ind w:right="-90"/>
              <w:jc w:val="both"/>
              <w:rPr>
                <w:rFonts w:ascii="Arial" w:hAnsi="Arial" w:cs="Arial"/>
                <w:b/>
                <w:sz w:val="24"/>
                <w:szCs w:val="24"/>
              </w:rPr>
            </w:pPr>
            <w:r w:rsidRPr="00531799">
              <w:rPr>
                <w:rFonts w:ascii="Arial" w:hAnsi="Arial" w:cs="Arial"/>
                <w:b/>
                <w:sz w:val="24"/>
                <w:szCs w:val="24"/>
              </w:rPr>
              <w:t xml:space="preserve">TONGHAM SHIPPING CO. LTD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Address: 143/1 Tower Road, </w:t>
            </w:r>
            <w:proofErr w:type="spellStart"/>
            <w:r w:rsidRPr="00531799">
              <w:rPr>
                <w:rFonts w:ascii="Arial" w:hAnsi="Arial" w:cs="Arial"/>
                <w:sz w:val="24"/>
                <w:szCs w:val="24"/>
              </w:rPr>
              <w:t>Sliema</w:t>
            </w:r>
            <w:proofErr w:type="spellEnd"/>
            <w:r w:rsidRPr="00531799">
              <w:rPr>
                <w:rFonts w:ascii="Arial" w:hAnsi="Arial" w:cs="Arial"/>
                <w:sz w:val="24"/>
                <w:szCs w:val="24"/>
              </w:rPr>
              <w:t xml:space="preserve">, Malta, SLM1604.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Other Information: EU listing. Not UN. Wholly owned subsidiary of Woking Shipping Investments Ltd. IMO No 9305219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Listed on: 24/05/2011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Last Updated: 09/04/2015 </w:t>
            </w:r>
          </w:p>
          <w:p w:rsidR="00531799" w:rsidRP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Group ID: 11568. </w:t>
            </w:r>
          </w:p>
          <w:p w:rsidR="00531799" w:rsidRDefault="00531799" w:rsidP="007D5FA7">
            <w:pPr>
              <w:spacing w:after="0" w:line="240" w:lineRule="auto"/>
              <w:ind w:right="-90"/>
              <w:jc w:val="both"/>
              <w:rPr>
                <w:rFonts w:ascii="Arial" w:hAnsi="Arial" w:cs="Arial"/>
                <w:sz w:val="24"/>
                <w:szCs w:val="24"/>
              </w:rPr>
            </w:pPr>
          </w:p>
          <w:p w:rsidR="00531799" w:rsidRPr="00531799" w:rsidRDefault="007D5FA7" w:rsidP="00531799">
            <w:pPr>
              <w:pStyle w:val="ListParagraph"/>
              <w:numPr>
                <w:ilvl w:val="0"/>
                <w:numId w:val="19"/>
              </w:numPr>
              <w:spacing w:after="0" w:line="240" w:lineRule="auto"/>
              <w:ind w:right="-90"/>
              <w:jc w:val="both"/>
              <w:rPr>
                <w:rFonts w:ascii="Arial" w:hAnsi="Arial" w:cs="Arial"/>
                <w:b/>
                <w:sz w:val="24"/>
                <w:szCs w:val="24"/>
              </w:rPr>
            </w:pPr>
            <w:r w:rsidRPr="00531799">
              <w:rPr>
                <w:rFonts w:ascii="Arial" w:hAnsi="Arial" w:cs="Arial"/>
                <w:b/>
                <w:sz w:val="24"/>
                <w:szCs w:val="24"/>
              </w:rPr>
              <w:t xml:space="preserve">UPPERCOURT SHIPPING COMPANY LIMITED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Address: 143/1 Tower Road, </w:t>
            </w:r>
            <w:proofErr w:type="spellStart"/>
            <w:r w:rsidRPr="00531799">
              <w:rPr>
                <w:rFonts w:ascii="Arial" w:hAnsi="Arial" w:cs="Arial"/>
                <w:sz w:val="24"/>
                <w:szCs w:val="24"/>
              </w:rPr>
              <w:t>Sliema</w:t>
            </w:r>
            <w:proofErr w:type="spellEnd"/>
            <w:r w:rsidRPr="00531799">
              <w:rPr>
                <w:rFonts w:ascii="Arial" w:hAnsi="Arial" w:cs="Arial"/>
                <w:sz w:val="24"/>
                <w:szCs w:val="24"/>
              </w:rPr>
              <w:t xml:space="preserve">, Malta, SLM1604.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Other Information: EU listing. Not UN. Wholly owned subsidiary of Woking Shipping Investments Ltd. IMO No 9305207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Listed on: 24/05/2011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lastRenderedPageBreak/>
              <w:t xml:space="preserve">Last Updated: 09/04/2015 </w:t>
            </w:r>
          </w:p>
          <w:p w:rsidR="00531799" w:rsidRP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Group ID: 11569. </w:t>
            </w:r>
          </w:p>
          <w:p w:rsidR="00531799" w:rsidRDefault="00531799" w:rsidP="007D5FA7">
            <w:pPr>
              <w:spacing w:after="0" w:line="240" w:lineRule="auto"/>
              <w:ind w:right="-90"/>
              <w:jc w:val="both"/>
              <w:rPr>
                <w:rFonts w:ascii="Arial" w:hAnsi="Arial" w:cs="Arial"/>
                <w:sz w:val="24"/>
                <w:szCs w:val="24"/>
              </w:rPr>
            </w:pPr>
          </w:p>
          <w:p w:rsidR="00531799" w:rsidRPr="00531799" w:rsidRDefault="007D5FA7" w:rsidP="00531799">
            <w:pPr>
              <w:pStyle w:val="ListParagraph"/>
              <w:numPr>
                <w:ilvl w:val="0"/>
                <w:numId w:val="19"/>
              </w:numPr>
              <w:spacing w:after="0" w:line="240" w:lineRule="auto"/>
              <w:ind w:right="-90"/>
              <w:jc w:val="both"/>
              <w:rPr>
                <w:rFonts w:ascii="Arial" w:hAnsi="Arial" w:cs="Arial"/>
                <w:b/>
                <w:sz w:val="24"/>
                <w:szCs w:val="24"/>
              </w:rPr>
            </w:pPr>
            <w:r w:rsidRPr="00531799">
              <w:rPr>
                <w:rFonts w:ascii="Arial" w:hAnsi="Arial" w:cs="Arial"/>
                <w:b/>
                <w:sz w:val="24"/>
                <w:szCs w:val="24"/>
              </w:rPr>
              <w:t xml:space="preserve">VOBSTER SHIPPING COMPANY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Address: 143/1 Tower Road, </w:t>
            </w:r>
            <w:proofErr w:type="spellStart"/>
            <w:r w:rsidRPr="00531799">
              <w:rPr>
                <w:rFonts w:ascii="Arial" w:hAnsi="Arial" w:cs="Arial"/>
                <w:sz w:val="24"/>
                <w:szCs w:val="24"/>
              </w:rPr>
              <w:t>Sliema</w:t>
            </w:r>
            <w:proofErr w:type="spellEnd"/>
            <w:r w:rsidRPr="00531799">
              <w:rPr>
                <w:rFonts w:ascii="Arial" w:hAnsi="Arial" w:cs="Arial"/>
                <w:sz w:val="24"/>
                <w:szCs w:val="24"/>
              </w:rPr>
              <w:t xml:space="preserve">, Malta, SLM1604.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Other Information: EU listing. Not UN. Wholly owned subsidiary of Woking Shipping Investments Ltd. IMO No 9305221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Listed on: 24/05/2011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Last Updated: 09/04/2015 </w:t>
            </w:r>
          </w:p>
          <w:p w:rsidR="00531799" w:rsidRP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Group ID: 11570. </w:t>
            </w:r>
          </w:p>
          <w:p w:rsidR="00531799" w:rsidRDefault="00531799" w:rsidP="007D5FA7">
            <w:pPr>
              <w:spacing w:after="0" w:line="240" w:lineRule="auto"/>
              <w:ind w:right="-90"/>
              <w:jc w:val="both"/>
              <w:rPr>
                <w:rFonts w:ascii="Arial" w:hAnsi="Arial" w:cs="Arial"/>
                <w:sz w:val="24"/>
                <w:szCs w:val="24"/>
              </w:rPr>
            </w:pPr>
          </w:p>
          <w:p w:rsidR="00531799" w:rsidRPr="00531799" w:rsidRDefault="007D5FA7" w:rsidP="00531799">
            <w:pPr>
              <w:pStyle w:val="ListParagraph"/>
              <w:numPr>
                <w:ilvl w:val="0"/>
                <w:numId w:val="19"/>
              </w:numPr>
              <w:spacing w:after="0" w:line="240" w:lineRule="auto"/>
              <w:ind w:right="-90"/>
              <w:jc w:val="both"/>
              <w:rPr>
                <w:rFonts w:ascii="Arial" w:hAnsi="Arial" w:cs="Arial"/>
                <w:b/>
                <w:sz w:val="24"/>
                <w:szCs w:val="24"/>
              </w:rPr>
            </w:pPr>
            <w:r w:rsidRPr="00531799">
              <w:rPr>
                <w:rFonts w:ascii="Arial" w:hAnsi="Arial" w:cs="Arial"/>
                <w:b/>
                <w:sz w:val="24"/>
                <w:szCs w:val="24"/>
              </w:rPr>
              <w:t xml:space="preserve">WOKING SHIPPING INVESTMENTS LTD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Address: 143/1 Tower Road, </w:t>
            </w:r>
            <w:proofErr w:type="spellStart"/>
            <w:r w:rsidRPr="00531799">
              <w:rPr>
                <w:rFonts w:ascii="Arial" w:hAnsi="Arial" w:cs="Arial"/>
                <w:sz w:val="24"/>
                <w:szCs w:val="24"/>
              </w:rPr>
              <w:t>Sliema</w:t>
            </w:r>
            <w:proofErr w:type="spellEnd"/>
            <w:r w:rsidRPr="00531799">
              <w:rPr>
                <w:rFonts w:ascii="Arial" w:hAnsi="Arial" w:cs="Arial"/>
                <w:sz w:val="24"/>
                <w:szCs w:val="24"/>
              </w:rPr>
              <w:t xml:space="preserve">, Malta, SLM1604.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Other Information: EU listing. Not UN. IRISL subsidiary. C39912 issued 2006.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Listed on: 24/05/2011 </w:t>
            </w:r>
          </w:p>
          <w:p w:rsid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 xml:space="preserve">Last Updated: 09/04/2015 </w:t>
            </w:r>
          </w:p>
          <w:p w:rsidR="007D5FA7" w:rsidRPr="00531799" w:rsidRDefault="007D5FA7" w:rsidP="00531799">
            <w:pPr>
              <w:pStyle w:val="ListParagraph"/>
              <w:spacing w:after="0" w:line="240" w:lineRule="auto"/>
              <w:ind w:right="-90"/>
              <w:jc w:val="both"/>
              <w:rPr>
                <w:rFonts w:ascii="Arial" w:hAnsi="Arial" w:cs="Arial"/>
                <w:sz w:val="24"/>
                <w:szCs w:val="24"/>
              </w:rPr>
            </w:pPr>
            <w:r w:rsidRPr="00531799">
              <w:rPr>
                <w:rFonts w:ascii="Arial" w:hAnsi="Arial" w:cs="Arial"/>
                <w:sz w:val="24"/>
                <w:szCs w:val="24"/>
              </w:rPr>
              <w:t>Group ID: 11566.</w:t>
            </w:r>
          </w:p>
          <w:p w:rsidR="004E3BBF" w:rsidRPr="007D5FA7" w:rsidRDefault="004E3BBF" w:rsidP="00E769D8">
            <w:pPr>
              <w:spacing w:after="0" w:line="240" w:lineRule="auto"/>
              <w:ind w:right="-90"/>
              <w:rPr>
                <w:rFonts w:ascii="Arial" w:hAnsi="Arial" w:cs="Arial"/>
                <w:b/>
                <w:sz w:val="24"/>
                <w:szCs w:val="24"/>
                <w:u w:val="single"/>
              </w:rPr>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F40223" w:rsidRPr="00787E3D" w:rsidRDefault="00F40223" w:rsidP="00F4022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5C6C3F" w:rsidRDefault="00306E67" w:rsidP="006A6707">
            <w:pPr>
              <w:spacing w:after="0" w:line="240" w:lineRule="auto"/>
              <w:ind w:right="-90"/>
              <w:jc w:val="both"/>
            </w:pPr>
            <w:r>
              <w:rPr>
                <w:rFonts w:ascii="Arial" w:hAnsi="Arial" w:cs="Arial"/>
                <w:b/>
                <w:sz w:val="24"/>
                <w:szCs w:val="24"/>
              </w:rPr>
              <w:t>09/04</w:t>
            </w:r>
            <w:r w:rsidR="00F40223" w:rsidRPr="00787E3D">
              <w:rPr>
                <w:rFonts w:ascii="Arial" w:hAnsi="Arial" w:cs="Arial"/>
                <w:b/>
                <w:sz w:val="24"/>
                <w:szCs w:val="24"/>
              </w:rPr>
              <w:t>/2015</w:t>
            </w: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854C09" w:rsidRPr="009A4A89" w:rsidRDefault="00854C09"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89" w:rsidRDefault="00C24089" w:rsidP="00A214FB">
      <w:pPr>
        <w:spacing w:after="0" w:line="240" w:lineRule="auto"/>
      </w:pPr>
      <w:r>
        <w:separator/>
      </w:r>
    </w:p>
  </w:endnote>
  <w:endnote w:type="continuationSeparator" w:id="1">
    <w:p w:rsidR="00C24089" w:rsidRDefault="00C24089"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89" w:rsidRDefault="00C24089" w:rsidP="00A214FB">
      <w:pPr>
        <w:spacing w:after="0" w:line="240" w:lineRule="auto"/>
      </w:pPr>
      <w:r>
        <w:separator/>
      </w:r>
    </w:p>
  </w:footnote>
  <w:footnote w:type="continuationSeparator" w:id="1">
    <w:p w:rsidR="00C24089" w:rsidRDefault="00C24089"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EC"/>
    <w:multiLevelType w:val="hybridMultilevel"/>
    <w:tmpl w:val="1C9E21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0B404CF"/>
    <w:multiLevelType w:val="hybridMultilevel"/>
    <w:tmpl w:val="5192D5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5A628A8"/>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4755765"/>
    <w:multiLevelType w:val="hybridMultilevel"/>
    <w:tmpl w:val="E7CE50B8"/>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380568F6"/>
    <w:multiLevelType w:val="hybridMultilevel"/>
    <w:tmpl w:val="EEEEE0E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45B50577"/>
    <w:multiLevelType w:val="hybridMultilevel"/>
    <w:tmpl w:val="AF3888D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4BD56DBC"/>
    <w:multiLevelType w:val="hybridMultilevel"/>
    <w:tmpl w:val="3A1A45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0">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530B0495"/>
    <w:multiLevelType w:val="hybridMultilevel"/>
    <w:tmpl w:val="900CC8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57BD3B7F"/>
    <w:multiLevelType w:val="hybridMultilevel"/>
    <w:tmpl w:val="642C6486"/>
    <w:lvl w:ilvl="0" w:tplc="CD9A1EC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75F1017A"/>
    <w:multiLevelType w:val="hybridMultilevel"/>
    <w:tmpl w:val="999A460C"/>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7AB1386D"/>
    <w:multiLevelType w:val="hybridMultilevel"/>
    <w:tmpl w:val="DEFCE9A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8">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18"/>
  </w:num>
  <w:num w:numId="5">
    <w:abstractNumId w:val="14"/>
  </w:num>
  <w:num w:numId="6">
    <w:abstractNumId w:val="10"/>
  </w:num>
  <w:num w:numId="7">
    <w:abstractNumId w:val="16"/>
  </w:num>
  <w:num w:numId="8">
    <w:abstractNumId w:val="5"/>
  </w:num>
  <w:num w:numId="9">
    <w:abstractNumId w:val="3"/>
  </w:num>
  <w:num w:numId="10">
    <w:abstractNumId w:val="7"/>
  </w:num>
  <w:num w:numId="11">
    <w:abstractNumId w:val="11"/>
  </w:num>
  <w:num w:numId="12">
    <w:abstractNumId w:val="17"/>
  </w:num>
  <w:num w:numId="13">
    <w:abstractNumId w:val="2"/>
  </w:num>
  <w:num w:numId="14">
    <w:abstractNumId w:val="8"/>
  </w:num>
  <w:num w:numId="15">
    <w:abstractNumId w:val="15"/>
  </w:num>
  <w:num w:numId="16">
    <w:abstractNumId w:val="4"/>
  </w:num>
  <w:num w:numId="17">
    <w:abstractNumId w:val="0"/>
  </w:num>
  <w:num w:numId="18">
    <w:abstractNumId w:val="9"/>
  </w:num>
  <w:num w:numId="19">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37FD9"/>
    <w:rsid w:val="00040DB5"/>
    <w:rsid w:val="000466A6"/>
    <w:rsid w:val="00047C02"/>
    <w:rsid w:val="00050014"/>
    <w:rsid w:val="00052D60"/>
    <w:rsid w:val="00056988"/>
    <w:rsid w:val="00057D74"/>
    <w:rsid w:val="00067C0A"/>
    <w:rsid w:val="000701D8"/>
    <w:rsid w:val="00071616"/>
    <w:rsid w:val="00076AC4"/>
    <w:rsid w:val="0009050E"/>
    <w:rsid w:val="000958E3"/>
    <w:rsid w:val="00095AE3"/>
    <w:rsid w:val="000A6D6C"/>
    <w:rsid w:val="000B3F4B"/>
    <w:rsid w:val="000B4879"/>
    <w:rsid w:val="000B5115"/>
    <w:rsid w:val="000B6EB4"/>
    <w:rsid w:val="000C3E68"/>
    <w:rsid w:val="000F6055"/>
    <w:rsid w:val="000F731F"/>
    <w:rsid w:val="000F7E28"/>
    <w:rsid w:val="001010FB"/>
    <w:rsid w:val="00102FED"/>
    <w:rsid w:val="00115045"/>
    <w:rsid w:val="00117F43"/>
    <w:rsid w:val="0012275B"/>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23264"/>
    <w:rsid w:val="00340524"/>
    <w:rsid w:val="00344288"/>
    <w:rsid w:val="003448E2"/>
    <w:rsid w:val="00353E17"/>
    <w:rsid w:val="003556BD"/>
    <w:rsid w:val="00371B82"/>
    <w:rsid w:val="00374424"/>
    <w:rsid w:val="00376FE1"/>
    <w:rsid w:val="00381D34"/>
    <w:rsid w:val="00383BFA"/>
    <w:rsid w:val="003944DD"/>
    <w:rsid w:val="003A6C90"/>
    <w:rsid w:val="003B5286"/>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57489"/>
    <w:rsid w:val="0046057D"/>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14B26"/>
    <w:rsid w:val="00516473"/>
    <w:rsid w:val="0051705E"/>
    <w:rsid w:val="00525D7C"/>
    <w:rsid w:val="00530DB9"/>
    <w:rsid w:val="00531799"/>
    <w:rsid w:val="00536D70"/>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10EEC"/>
    <w:rsid w:val="006164AC"/>
    <w:rsid w:val="00616B0E"/>
    <w:rsid w:val="0062126F"/>
    <w:rsid w:val="00621E9B"/>
    <w:rsid w:val="00622A8A"/>
    <w:rsid w:val="00627ADE"/>
    <w:rsid w:val="00637112"/>
    <w:rsid w:val="00647835"/>
    <w:rsid w:val="00655054"/>
    <w:rsid w:val="00660FA5"/>
    <w:rsid w:val="00667665"/>
    <w:rsid w:val="006717FF"/>
    <w:rsid w:val="00671B8A"/>
    <w:rsid w:val="0069209E"/>
    <w:rsid w:val="00697397"/>
    <w:rsid w:val="006A47ED"/>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64FB0"/>
    <w:rsid w:val="00766CB2"/>
    <w:rsid w:val="00787E3D"/>
    <w:rsid w:val="00794955"/>
    <w:rsid w:val="00794DEC"/>
    <w:rsid w:val="00796EA8"/>
    <w:rsid w:val="007A0964"/>
    <w:rsid w:val="007A23CF"/>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CCA"/>
    <w:rsid w:val="00842DC0"/>
    <w:rsid w:val="00844380"/>
    <w:rsid w:val="00851853"/>
    <w:rsid w:val="00851E4F"/>
    <w:rsid w:val="008534E8"/>
    <w:rsid w:val="00854C09"/>
    <w:rsid w:val="008615CB"/>
    <w:rsid w:val="00866044"/>
    <w:rsid w:val="00882917"/>
    <w:rsid w:val="0088443B"/>
    <w:rsid w:val="008915BD"/>
    <w:rsid w:val="008923E8"/>
    <w:rsid w:val="008B175E"/>
    <w:rsid w:val="008D786D"/>
    <w:rsid w:val="008E4FAA"/>
    <w:rsid w:val="008E7556"/>
    <w:rsid w:val="008F4051"/>
    <w:rsid w:val="008F4210"/>
    <w:rsid w:val="008F5CC8"/>
    <w:rsid w:val="00900D71"/>
    <w:rsid w:val="00907566"/>
    <w:rsid w:val="00912024"/>
    <w:rsid w:val="009178E6"/>
    <w:rsid w:val="009251F4"/>
    <w:rsid w:val="00926CF5"/>
    <w:rsid w:val="00941EEA"/>
    <w:rsid w:val="0094358A"/>
    <w:rsid w:val="0095374D"/>
    <w:rsid w:val="00957F65"/>
    <w:rsid w:val="009675F1"/>
    <w:rsid w:val="00970DC3"/>
    <w:rsid w:val="0099708A"/>
    <w:rsid w:val="009A3F84"/>
    <w:rsid w:val="009A4A89"/>
    <w:rsid w:val="009B0A74"/>
    <w:rsid w:val="009B4140"/>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85D89"/>
    <w:rsid w:val="00A90BE3"/>
    <w:rsid w:val="00A95BEB"/>
    <w:rsid w:val="00AB0C45"/>
    <w:rsid w:val="00AD228D"/>
    <w:rsid w:val="00AE2688"/>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C00A8D"/>
    <w:rsid w:val="00C058D3"/>
    <w:rsid w:val="00C109A4"/>
    <w:rsid w:val="00C23E37"/>
    <w:rsid w:val="00C24089"/>
    <w:rsid w:val="00C311E3"/>
    <w:rsid w:val="00C333CC"/>
    <w:rsid w:val="00C54BDF"/>
    <w:rsid w:val="00C54D52"/>
    <w:rsid w:val="00C56129"/>
    <w:rsid w:val="00C56BA5"/>
    <w:rsid w:val="00C56FEC"/>
    <w:rsid w:val="00C56FF9"/>
    <w:rsid w:val="00C61E50"/>
    <w:rsid w:val="00C6402F"/>
    <w:rsid w:val="00C7246C"/>
    <w:rsid w:val="00C766F4"/>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scmrat@candw.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EN/TXT/PDF/?uri=OJ:L:2015:092:FULL&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6</cp:revision>
  <cp:lastPrinted>2015-04-10T13:48:00Z</cp:lastPrinted>
  <dcterms:created xsi:type="dcterms:W3CDTF">2015-04-10T13:48:00Z</dcterms:created>
  <dcterms:modified xsi:type="dcterms:W3CDTF">2015-04-10T14:16:00Z</dcterms:modified>
</cp:coreProperties>
</file>