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9D3654">
              <w:trPr>
                <w:trHeight w:val="13860"/>
              </w:trPr>
              <w:tc>
                <w:tcPr>
                  <w:tcW w:w="9378" w:type="dxa"/>
                </w:tcPr>
                <w:p w:rsidR="00381D34" w:rsidRPr="00712BEF" w:rsidRDefault="00C33ACC" w:rsidP="006B488B">
                  <w:pPr>
                    <w:pStyle w:val="Default"/>
                    <w:ind w:left="-108" w:right="-90"/>
                    <w:jc w:val="both"/>
                    <w:rPr>
                      <w:rFonts w:ascii="Arial" w:hAnsi="Arial" w:cs="Arial"/>
                    </w:rPr>
                  </w:pPr>
                  <w:r>
                    <w:rPr>
                      <w:rFonts w:ascii="Arial" w:hAnsi="Arial" w:cs="Arial"/>
                    </w:rPr>
                    <w:t>2</w:t>
                  </w:r>
                  <w:r w:rsidR="0021008B">
                    <w:rPr>
                      <w:rFonts w:ascii="Arial" w:hAnsi="Arial" w:cs="Arial"/>
                    </w:rPr>
                    <w:t xml:space="preserve"> June</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21008B" w:rsidRDefault="0021008B" w:rsidP="008923E8">
                  <w:pPr>
                    <w:pStyle w:val="Default"/>
                    <w:ind w:right="-90"/>
                    <w:jc w:val="both"/>
                    <w:rPr>
                      <w:rFonts w:ascii="Arial" w:hAnsi="Arial" w:cs="Arial"/>
                    </w:rPr>
                  </w:pPr>
                </w:p>
                <w:p w:rsidR="0021008B" w:rsidRPr="008E57F7" w:rsidRDefault="003D1BB7" w:rsidP="0021008B">
                  <w:pPr>
                    <w:pStyle w:val="Default"/>
                    <w:ind w:right="-90"/>
                    <w:jc w:val="center"/>
                    <w:rPr>
                      <w:rFonts w:ascii="Arial" w:hAnsi="Arial" w:cs="Arial"/>
                      <w:b/>
                      <w:sz w:val="28"/>
                      <w:szCs w:val="28"/>
                    </w:rPr>
                  </w:pPr>
                  <w:r>
                    <w:rPr>
                      <w:rFonts w:ascii="Arial" w:hAnsi="Arial" w:cs="Arial"/>
                      <w:b/>
                      <w:sz w:val="28"/>
                      <w:szCs w:val="28"/>
                    </w:rPr>
                    <w:t>Libya</w:t>
                  </w:r>
                </w:p>
                <w:p w:rsidR="0021008B" w:rsidRDefault="0021008B" w:rsidP="0021008B">
                  <w:pPr>
                    <w:pStyle w:val="Default"/>
                    <w:ind w:right="-90"/>
                    <w:jc w:val="center"/>
                    <w:rPr>
                      <w:rFonts w:ascii="Arial" w:hAnsi="Arial" w:cs="Arial"/>
                    </w:rPr>
                  </w:pPr>
                </w:p>
                <w:p w:rsidR="008E57F7" w:rsidRPr="008E57F7" w:rsidRDefault="0021008B" w:rsidP="00AC4F7C">
                  <w:pPr>
                    <w:spacing w:after="0" w:line="240" w:lineRule="auto"/>
                    <w:ind w:right="-90"/>
                    <w:jc w:val="both"/>
                    <w:rPr>
                      <w:rFonts w:ascii="Arial" w:hAnsi="Arial" w:cs="Arial"/>
                      <w:b/>
                      <w:sz w:val="24"/>
                      <w:szCs w:val="24"/>
                    </w:rPr>
                  </w:pPr>
                  <w:r w:rsidRPr="008E57F7">
                    <w:rPr>
                      <w:rFonts w:ascii="Arial" w:hAnsi="Arial" w:cs="Arial"/>
                      <w:b/>
                      <w:sz w:val="24"/>
                      <w:szCs w:val="24"/>
                    </w:rPr>
                    <w:t>Introduction</w:t>
                  </w:r>
                </w:p>
                <w:p w:rsidR="008E57F7" w:rsidRPr="008E57F7" w:rsidRDefault="008E57F7" w:rsidP="00AC4F7C">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Council Regulation (EU) 204/2011 (“the Regulation”) imposing financial sanctions against Libya has been amended.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spacing w:after="0" w:line="240" w:lineRule="auto"/>
                    <w:ind w:right="-90"/>
                    <w:jc w:val="both"/>
                    <w:rPr>
                      <w:rFonts w:ascii="Arial" w:hAnsi="Arial" w:cs="Arial"/>
                      <w:b/>
                      <w:sz w:val="24"/>
                      <w:szCs w:val="24"/>
                    </w:rPr>
                  </w:pPr>
                  <w:r w:rsidRPr="008E57F7">
                    <w:rPr>
                      <w:rFonts w:ascii="Arial" w:hAnsi="Arial" w:cs="Arial"/>
                      <w:b/>
                      <w:sz w:val="24"/>
                      <w:szCs w:val="24"/>
                    </w:rPr>
                    <w:t xml:space="preserve">Notice summary (Full details are provided in the Annex to this Notice) </w:t>
                  </w:r>
                </w:p>
                <w:p w:rsidR="008E57F7" w:rsidRDefault="008E57F7" w:rsidP="008E57F7">
                  <w:pPr>
                    <w:spacing w:after="0" w:line="240" w:lineRule="auto"/>
                    <w:ind w:right="-90"/>
                    <w:jc w:val="both"/>
                    <w:rPr>
                      <w:rFonts w:ascii="Arial" w:hAnsi="Arial" w:cs="Arial"/>
                      <w:sz w:val="24"/>
                      <w:szCs w:val="24"/>
                    </w:rPr>
                  </w:pPr>
                </w:p>
                <w:p w:rsidR="001F7AC4" w:rsidRPr="001F7AC4" w:rsidRDefault="0021008B" w:rsidP="008E57F7">
                  <w:pPr>
                    <w:pStyle w:val="ListParagraph"/>
                    <w:numPr>
                      <w:ilvl w:val="0"/>
                      <w:numId w:val="6"/>
                    </w:numPr>
                    <w:spacing w:after="0" w:line="240" w:lineRule="auto"/>
                    <w:ind w:right="-90"/>
                    <w:jc w:val="both"/>
                  </w:pPr>
                  <w:r w:rsidRPr="008E57F7">
                    <w:rPr>
                      <w:rFonts w:ascii="Arial" w:hAnsi="Arial" w:cs="Arial"/>
                      <w:sz w:val="24"/>
                      <w:szCs w:val="24"/>
                    </w:rPr>
                    <w:t xml:space="preserve">Two entities have had their listing details amended and have been placed in a new Annex to the Regulation. </w:t>
                  </w:r>
                </w:p>
                <w:p w:rsidR="001F7AC4" w:rsidRDefault="0021008B" w:rsidP="001F7AC4">
                  <w:pPr>
                    <w:pStyle w:val="ListParagraph"/>
                    <w:numPr>
                      <w:ilvl w:val="0"/>
                      <w:numId w:val="10"/>
                    </w:numPr>
                    <w:spacing w:after="0" w:line="240" w:lineRule="auto"/>
                    <w:ind w:right="-90"/>
                    <w:jc w:val="both"/>
                    <w:rPr>
                      <w:rFonts w:ascii="Arial" w:hAnsi="Arial" w:cs="Arial"/>
                      <w:sz w:val="24"/>
                      <w:szCs w:val="24"/>
                    </w:rPr>
                  </w:pPr>
                  <w:r w:rsidRPr="008E57F7">
                    <w:rPr>
                      <w:rFonts w:ascii="Arial" w:hAnsi="Arial" w:cs="Arial"/>
                      <w:sz w:val="24"/>
                      <w:szCs w:val="24"/>
                    </w:rPr>
                    <w:t>LIBYAN INVESTMENT AUTHORITY (Group ID: 11666)</w:t>
                  </w:r>
                </w:p>
                <w:p w:rsidR="008E57F7" w:rsidRDefault="0021008B" w:rsidP="001F7AC4">
                  <w:pPr>
                    <w:pStyle w:val="ListParagraph"/>
                    <w:numPr>
                      <w:ilvl w:val="0"/>
                      <w:numId w:val="10"/>
                    </w:numPr>
                    <w:spacing w:after="0" w:line="240" w:lineRule="auto"/>
                    <w:ind w:right="-90"/>
                    <w:jc w:val="both"/>
                  </w:pPr>
                  <w:r w:rsidRPr="008E57F7">
                    <w:rPr>
                      <w:rFonts w:ascii="Arial" w:hAnsi="Arial" w:cs="Arial"/>
                      <w:sz w:val="24"/>
                      <w:szCs w:val="24"/>
                    </w:rPr>
                    <w:t>LIBYAN AFRICA INVESTMENT PORTFOLIO (Group ID: 11663)</w:t>
                  </w:r>
                </w:p>
                <w:p w:rsidR="008E57F7" w:rsidRDefault="008E57F7" w:rsidP="008E57F7">
                  <w:pPr>
                    <w:spacing w:after="0" w:line="240" w:lineRule="auto"/>
                    <w:ind w:right="-90"/>
                    <w:jc w:val="both"/>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All funds and economic resources belonging to, or owned, held or controlled by these entities on 16 September 2011 and were located outside Libya on that date must be frozen. There is, however, no prohibition on making funds available to either entity.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spacing w:after="0" w:line="240" w:lineRule="auto"/>
                    <w:ind w:right="-90"/>
                    <w:jc w:val="both"/>
                    <w:rPr>
                      <w:rFonts w:ascii="Arial" w:hAnsi="Arial" w:cs="Arial"/>
                      <w:b/>
                      <w:sz w:val="24"/>
                      <w:szCs w:val="24"/>
                    </w:rPr>
                  </w:pPr>
                  <w:r w:rsidRPr="008E57F7">
                    <w:rPr>
                      <w:rFonts w:ascii="Arial" w:hAnsi="Arial" w:cs="Arial"/>
                      <w:b/>
                      <w:sz w:val="24"/>
                      <w:szCs w:val="24"/>
                    </w:rPr>
                    <w:t xml:space="preserve">What you must do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You must: </w:t>
                  </w:r>
                </w:p>
                <w:p w:rsidR="008E57F7" w:rsidRDefault="008E57F7" w:rsidP="008E57F7">
                  <w:pPr>
                    <w:spacing w:after="0" w:line="240" w:lineRule="auto"/>
                    <w:ind w:right="-90"/>
                    <w:jc w:val="both"/>
                    <w:rPr>
                      <w:rFonts w:ascii="Arial" w:hAnsi="Arial" w:cs="Arial"/>
                      <w:sz w:val="24"/>
                      <w:szCs w:val="24"/>
                    </w:rPr>
                  </w:pPr>
                </w:p>
                <w:p w:rsidR="008E57F7" w:rsidRDefault="0021008B" w:rsidP="008E57F7">
                  <w:pPr>
                    <w:pStyle w:val="ListParagraph"/>
                    <w:numPr>
                      <w:ilvl w:val="0"/>
                      <w:numId w:val="7"/>
                    </w:numPr>
                    <w:spacing w:after="0" w:line="240" w:lineRule="auto"/>
                    <w:ind w:left="1332" w:right="-90" w:hanging="360"/>
                    <w:jc w:val="both"/>
                    <w:rPr>
                      <w:rFonts w:ascii="Arial" w:hAnsi="Arial" w:cs="Arial"/>
                      <w:sz w:val="24"/>
                      <w:szCs w:val="24"/>
                    </w:rPr>
                  </w:pPr>
                  <w:r w:rsidRPr="008E57F7">
                    <w:rPr>
                      <w:rFonts w:ascii="Arial" w:hAnsi="Arial" w:cs="Arial"/>
                      <w:sz w:val="24"/>
                      <w:szCs w:val="24"/>
                    </w:rPr>
                    <w:t>check whether you maintain any accounts or hold any funds or economic resources for the persons set out in the Annex to this Notice;</w:t>
                  </w:r>
                </w:p>
                <w:p w:rsidR="008E57F7" w:rsidRPr="008E57F7" w:rsidRDefault="008E57F7" w:rsidP="008E57F7">
                  <w:pPr>
                    <w:pStyle w:val="ListParagraph"/>
                    <w:spacing w:after="0" w:line="240" w:lineRule="auto"/>
                    <w:ind w:left="1332" w:right="-90" w:hanging="360"/>
                    <w:jc w:val="both"/>
                    <w:rPr>
                      <w:rFonts w:ascii="Arial" w:hAnsi="Arial" w:cs="Arial"/>
                      <w:sz w:val="24"/>
                      <w:szCs w:val="24"/>
                    </w:rPr>
                  </w:pPr>
                </w:p>
                <w:p w:rsidR="008E57F7" w:rsidRDefault="0021008B" w:rsidP="008E57F7">
                  <w:pPr>
                    <w:pStyle w:val="ListParagraph"/>
                    <w:numPr>
                      <w:ilvl w:val="0"/>
                      <w:numId w:val="7"/>
                    </w:numPr>
                    <w:spacing w:after="0" w:line="240" w:lineRule="auto"/>
                    <w:ind w:left="1332" w:right="-90" w:hanging="360"/>
                    <w:jc w:val="both"/>
                    <w:rPr>
                      <w:rFonts w:ascii="Arial" w:hAnsi="Arial" w:cs="Arial"/>
                      <w:sz w:val="24"/>
                      <w:szCs w:val="24"/>
                    </w:rPr>
                  </w:pPr>
                  <w:r w:rsidRPr="008E57F7">
                    <w:rPr>
                      <w:rFonts w:ascii="Arial" w:hAnsi="Arial" w:cs="Arial"/>
                      <w:sz w:val="24"/>
                      <w:szCs w:val="24"/>
                    </w:rPr>
                    <w:t xml:space="preserve">freeze such accounts, and other funds or assets; </w:t>
                  </w:r>
                </w:p>
                <w:p w:rsidR="008E57F7" w:rsidRPr="008E57F7" w:rsidRDefault="008E57F7" w:rsidP="008E57F7">
                  <w:pPr>
                    <w:pStyle w:val="ListParagraph"/>
                    <w:ind w:left="1332" w:hanging="360"/>
                    <w:rPr>
                      <w:rFonts w:ascii="Arial" w:hAnsi="Arial" w:cs="Arial"/>
                      <w:sz w:val="24"/>
                      <w:szCs w:val="24"/>
                    </w:rPr>
                  </w:pPr>
                </w:p>
                <w:p w:rsidR="008E57F7" w:rsidRDefault="0021008B" w:rsidP="008E57F7">
                  <w:pPr>
                    <w:pStyle w:val="ListParagraph"/>
                    <w:numPr>
                      <w:ilvl w:val="0"/>
                      <w:numId w:val="7"/>
                    </w:numPr>
                    <w:spacing w:after="0" w:line="240" w:lineRule="auto"/>
                    <w:ind w:left="1332" w:right="-90" w:hanging="360"/>
                    <w:jc w:val="both"/>
                    <w:rPr>
                      <w:rFonts w:ascii="Arial" w:hAnsi="Arial" w:cs="Arial"/>
                      <w:sz w:val="24"/>
                      <w:szCs w:val="24"/>
                    </w:rPr>
                  </w:pPr>
                  <w:r w:rsidRPr="008E57F7">
                    <w:rPr>
                      <w:rFonts w:ascii="Arial" w:hAnsi="Arial" w:cs="Arial"/>
                      <w:sz w:val="24"/>
                      <w:szCs w:val="24"/>
                    </w:rPr>
                    <w:t>refrain from dealing with the funds or assets or making them available to such persons un</w:t>
                  </w:r>
                  <w:r w:rsidR="008E57F7">
                    <w:rPr>
                      <w:rFonts w:ascii="Arial" w:hAnsi="Arial" w:cs="Arial"/>
                      <w:sz w:val="24"/>
                      <w:szCs w:val="24"/>
                    </w:rPr>
                    <w:t xml:space="preserve">less licensed by the Treasury; </w:t>
                  </w:r>
                </w:p>
                <w:p w:rsidR="008E57F7" w:rsidRPr="008E57F7" w:rsidRDefault="008E57F7" w:rsidP="008E57F7">
                  <w:pPr>
                    <w:pStyle w:val="ListParagraph"/>
                    <w:ind w:left="1332" w:hanging="360"/>
                    <w:rPr>
                      <w:rFonts w:ascii="Arial" w:hAnsi="Arial" w:cs="Arial"/>
                      <w:sz w:val="24"/>
                      <w:szCs w:val="24"/>
                    </w:rPr>
                  </w:pPr>
                </w:p>
                <w:p w:rsidR="008E57F7" w:rsidRDefault="0021008B" w:rsidP="008E57F7">
                  <w:pPr>
                    <w:pStyle w:val="ListParagraph"/>
                    <w:numPr>
                      <w:ilvl w:val="0"/>
                      <w:numId w:val="7"/>
                    </w:numPr>
                    <w:spacing w:after="0" w:line="240" w:lineRule="auto"/>
                    <w:ind w:left="1332" w:right="-90" w:hanging="360"/>
                    <w:jc w:val="both"/>
                    <w:rPr>
                      <w:rFonts w:ascii="Arial" w:hAnsi="Arial" w:cs="Arial"/>
                      <w:sz w:val="24"/>
                      <w:szCs w:val="24"/>
                    </w:rPr>
                  </w:pPr>
                  <w:r w:rsidRPr="008E57F7">
                    <w:rPr>
                      <w:rFonts w:ascii="Arial" w:hAnsi="Arial" w:cs="Arial"/>
                      <w:sz w:val="24"/>
                      <w:szCs w:val="24"/>
                    </w:rPr>
                    <w:t xml:space="preserve">report any findings to the Treasury, together with any additional information that would facilitate compliance with the Regulation; </w:t>
                  </w:r>
                </w:p>
                <w:p w:rsidR="008E57F7" w:rsidRPr="008E57F7" w:rsidRDefault="008E57F7" w:rsidP="008E57F7">
                  <w:pPr>
                    <w:pStyle w:val="ListParagraph"/>
                    <w:ind w:left="1332" w:hanging="360"/>
                    <w:rPr>
                      <w:rFonts w:ascii="Arial" w:hAnsi="Arial" w:cs="Arial"/>
                      <w:sz w:val="24"/>
                      <w:szCs w:val="24"/>
                    </w:rPr>
                  </w:pPr>
                </w:p>
                <w:p w:rsidR="008E57F7" w:rsidRDefault="0021008B" w:rsidP="008E57F7">
                  <w:pPr>
                    <w:pStyle w:val="ListParagraph"/>
                    <w:numPr>
                      <w:ilvl w:val="0"/>
                      <w:numId w:val="7"/>
                    </w:numPr>
                    <w:spacing w:after="0" w:line="240" w:lineRule="auto"/>
                    <w:ind w:left="1332" w:right="-90" w:hanging="360"/>
                    <w:jc w:val="both"/>
                    <w:rPr>
                      <w:rFonts w:ascii="Arial" w:hAnsi="Arial" w:cs="Arial"/>
                      <w:sz w:val="24"/>
                      <w:szCs w:val="24"/>
                    </w:rPr>
                  </w:pPr>
                  <w:proofErr w:type="gramStart"/>
                  <w:r w:rsidRPr="008E57F7">
                    <w:rPr>
                      <w:rFonts w:ascii="Arial" w:hAnsi="Arial" w:cs="Arial"/>
                      <w:sz w:val="24"/>
                      <w:szCs w:val="24"/>
                    </w:rPr>
                    <w:t>provide</w:t>
                  </w:r>
                  <w:proofErr w:type="gramEnd"/>
                  <w:r w:rsidRPr="008E57F7">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8E57F7" w:rsidRDefault="008E57F7" w:rsidP="008E57F7">
                  <w:pPr>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Where a relevant institution has already reported details of accounts, other funds or economic resources held frozen for designated persons, they are not </w:t>
                  </w:r>
                  <w:r w:rsidRPr="008E57F7">
                    <w:rPr>
                      <w:rFonts w:ascii="Arial" w:hAnsi="Arial" w:cs="Arial"/>
                      <w:sz w:val="24"/>
                      <w:szCs w:val="24"/>
                    </w:rPr>
                    <w:lastRenderedPageBreak/>
                    <w:t xml:space="preserve">required to report these details again. </w:t>
                  </w:r>
                </w:p>
                <w:p w:rsidR="008E57F7" w:rsidRDefault="008E57F7" w:rsidP="008E57F7">
                  <w:pPr>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Failure to comply with financial sanctions legislation or to seek to circumvent its provisions is a criminal offence. </w:t>
                  </w:r>
                </w:p>
                <w:p w:rsidR="008E57F7" w:rsidRPr="008E57F7" w:rsidRDefault="008E57F7" w:rsidP="008E57F7">
                  <w:pPr>
                    <w:spacing w:after="0" w:line="240" w:lineRule="auto"/>
                    <w:ind w:right="-90"/>
                    <w:jc w:val="both"/>
                    <w:rPr>
                      <w:rFonts w:ascii="Arial" w:hAnsi="Arial" w:cs="Arial"/>
                      <w:b/>
                      <w:sz w:val="24"/>
                      <w:szCs w:val="24"/>
                    </w:rPr>
                  </w:pPr>
                </w:p>
                <w:p w:rsidR="008E57F7" w:rsidRPr="008E57F7" w:rsidRDefault="0021008B" w:rsidP="008E57F7">
                  <w:pPr>
                    <w:spacing w:after="0" w:line="240" w:lineRule="auto"/>
                    <w:ind w:right="-90"/>
                    <w:jc w:val="both"/>
                    <w:rPr>
                      <w:rFonts w:ascii="Arial" w:hAnsi="Arial" w:cs="Arial"/>
                      <w:b/>
                      <w:sz w:val="24"/>
                      <w:szCs w:val="24"/>
                    </w:rPr>
                  </w:pPr>
                  <w:r w:rsidRPr="008E57F7">
                    <w:rPr>
                      <w:rFonts w:ascii="Arial" w:hAnsi="Arial" w:cs="Arial"/>
                      <w:b/>
                      <w:sz w:val="24"/>
                      <w:szCs w:val="24"/>
                    </w:rPr>
                    <w:t xml:space="preserve">Legislative details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On 27 May 2015 Council Regulation (EU) No 2015/813 (“the Amending Regulation”) was published in the Official Journal of the European Union (O.J. L 129, 27.5.2015, p.1) by the Council of the European Union.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The Amending Regulation created a new Annex (‘Annex VI’) to the Regulation with effect from 28 May 2015. The two aforementioned entities are now listed under Annex VI.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The Amending Regulation reflects the decision made by the United Nations Security Council (UNSC) Committee established pursuant to Resolution 1970 (2011) on 27 March 2015.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spacing w:after="0" w:line="240" w:lineRule="auto"/>
                    <w:ind w:right="-90"/>
                    <w:jc w:val="both"/>
                    <w:rPr>
                      <w:rFonts w:ascii="Arial" w:hAnsi="Arial" w:cs="Arial"/>
                      <w:b/>
                      <w:sz w:val="24"/>
                      <w:szCs w:val="24"/>
                    </w:rPr>
                  </w:pPr>
                  <w:r w:rsidRPr="008E57F7">
                    <w:rPr>
                      <w:rFonts w:ascii="Arial" w:hAnsi="Arial" w:cs="Arial"/>
                      <w:b/>
                      <w:sz w:val="24"/>
                      <w:szCs w:val="24"/>
                    </w:rPr>
                    <w:t xml:space="preserve">Further Information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A copy of the Amending Regulation can be obtained from the website of the Official Journal of the European Union: </w:t>
                  </w:r>
                </w:p>
                <w:p w:rsidR="008E57F7" w:rsidRDefault="00755D80" w:rsidP="008E57F7">
                  <w:pPr>
                    <w:pStyle w:val="ListParagraph"/>
                    <w:spacing w:after="0" w:line="240" w:lineRule="auto"/>
                    <w:ind w:right="-90"/>
                    <w:jc w:val="both"/>
                    <w:rPr>
                      <w:rFonts w:ascii="Arial" w:hAnsi="Arial" w:cs="Arial"/>
                      <w:sz w:val="24"/>
                      <w:szCs w:val="24"/>
                    </w:rPr>
                  </w:pPr>
                  <w:hyperlink r:id="rId10" w:history="1">
                    <w:r w:rsidR="008E57F7" w:rsidRPr="00FA4C23">
                      <w:rPr>
                        <w:rStyle w:val="Hyperlink"/>
                        <w:rFonts w:ascii="Arial" w:hAnsi="Arial" w:cs="Arial"/>
                        <w:sz w:val="24"/>
                        <w:szCs w:val="24"/>
                      </w:rPr>
                      <w:t>http://eur-lex.europa.eu/legal-content/EN/TXT/PDF/?uri=CELEX:32015R0813&amp;from=EN</w:t>
                    </w:r>
                  </w:hyperlink>
                </w:p>
                <w:p w:rsidR="008E57F7" w:rsidRDefault="008E57F7" w:rsidP="008E57F7">
                  <w:pPr>
                    <w:pStyle w:val="ListParagraph"/>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Copies of relevant Releases, certain EU Regulations, UNSC Resolutions, and UK legislation can be obtained from the Libya financial sanctions page on the GOV.UK website: </w:t>
                  </w:r>
                </w:p>
                <w:p w:rsidR="008E57F7" w:rsidRDefault="00755D80" w:rsidP="008E57F7">
                  <w:pPr>
                    <w:pStyle w:val="ListParagraph"/>
                    <w:spacing w:after="0" w:line="240" w:lineRule="auto"/>
                    <w:ind w:right="-90"/>
                    <w:jc w:val="both"/>
                    <w:rPr>
                      <w:rFonts w:ascii="Arial" w:hAnsi="Arial" w:cs="Arial"/>
                      <w:sz w:val="24"/>
                      <w:szCs w:val="24"/>
                    </w:rPr>
                  </w:pPr>
                  <w:hyperlink r:id="rId11" w:history="1">
                    <w:r w:rsidR="008E57F7" w:rsidRPr="00FA4C23">
                      <w:rPr>
                        <w:rStyle w:val="Hyperlink"/>
                        <w:rFonts w:ascii="Arial" w:hAnsi="Arial" w:cs="Arial"/>
                        <w:sz w:val="24"/>
                        <w:szCs w:val="24"/>
                      </w:rPr>
                      <w:t>https://www.gov.uk/government/collections/financial-sanctions-regime-specificconsolidated-lists-and-releases</w:t>
                    </w:r>
                  </w:hyperlink>
                </w:p>
                <w:p w:rsidR="008E57F7" w:rsidRDefault="008E57F7" w:rsidP="008E57F7">
                  <w:pPr>
                    <w:pStyle w:val="ListParagraph"/>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Further details on the UN measures in respect of Libya can be found on the relevant UN Sanctions Committee webpage: </w:t>
                  </w:r>
                </w:p>
                <w:p w:rsidR="008E57F7" w:rsidRDefault="00755D80" w:rsidP="008E57F7">
                  <w:pPr>
                    <w:pStyle w:val="ListParagraph"/>
                    <w:spacing w:after="0" w:line="240" w:lineRule="auto"/>
                    <w:ind w:right="-90"/>
                    <w:jc w:val="both"/>
                    <w:rPr>
                      <w:rFonts w:ascii="Arial" w:hAnsi="Arial" w:cs="Arial"/>
                      <w:sz w:val="24"/>
                      <w:szCs w:val="24"/>
                    </w:rPr>
                  </w:pPr>
                  <w:hyperlink r:id="rId12" w:history="1">
                    <w:r w:rsidR="008E57F7" w:rsidRPr="00FA4C23">
                      <w:rPr>
                        <w:rStyle w:val="Hyperlink"/>
                        <w:rFonts w:ascii="Arial" w:hAnsi="Arial" w:cs="Arial"/>
                        <w:sz w:val="24"/>
                        <w:szCs w:val="24"/>
                      </w:rPr>
                      <w:t>http://www.un.org/sc/committees</w:t>
                    </w:r>
                  </w:hyperlink>
                  <w:r w:rsidR="0021008B" w:rsidRPr="008E57F7">
                    <w:rPr>
                      <w:rFonts w:ascii="Arial" w:hAnsi="Arial" w:cs="Arial"/>
                      <w:sz w:val="24"/>
                      <w:szCs w:val="24"/>
                    </w:rPr>
                    <w:t>.</w:t>
                  </w:r>
                </w:p>
                <w:p w:rsidR="008E57F7" w:rsidRDefault="008E57F7" w:rsidP="008E57F7">
                  <w:pPr>
                    <w:pStyle w:val="ListParagraph"/>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 xml:space="preserve">Please note there </w:t>
                  </w:r>
                  <w:proofErr w:type="gramStart"/>
                  <w:r w:rsidRPr="008E57F7">
                    <w:rPr>
                      <w:rFonts w:ascii="Arial" w:hAnsi="Arial" w:cs="Arial"/>
                      <w:sz w:val="24"/>
                      <w:szCs w:val="24"/>
                    </w:rPr>
                    <w:t>are also import</w:t>
                  </w:r>
                  <w:proofErr w:type="gramEnd"/>
                  <w:r w:rsidRPr="008E57F7">
                    <w:rPr>
                      <w:rFonts w:ascii="Arial" w:hAnsi="Arial" w:cs="Arial"/>
                      <w:sz w:val="24"/>
                      <w:szCs w:val="24"/>
                    </w:rPr>
                    <w:t xml:space="preserve"> and export restrictions on Libya. Further guidance on export and trade sanctions is available from the GOV.UK website:</w:t>
                  </w:r>
                </w:p>
                <w:p w:rsidR="008E57F7" w:rsidRDefault="00755D80" w:rsidP="008E57F7">
                  <w:pPr>
                    <w:pStyle w:val="ListParagraph"/>
                    <w:spacing w:after="0" w:line="240" w:lineRule="auto"/>
                    <w:ind w:right="-90"/>
                    <w:jc w:val="both"/>
                    <w:rPr>
                      <w:rFonts w:ascii="Arial" w:hAnsi="Arial" w:cs="Arial"/>
                      <w:sz w:val="24"/>
                      <w:szCs w:val="24"/>
                    </w:rPr>
                  </w:pPr>
                  <w:hyperlink r:id="rId13" w:history="1">
                    <w:r w:rsidR="008E57F7" w:rsidRPr="00FA4C23">
                      <w:rPr>
                        <w:rStyle w:val="Hyperlink"/>
                        <w:rFonts w:ascii="Arial" w:hAnsi="Arial" w:cs="Arial"/>
                        <w:sz w:val="24"/>
                        <w:szCs w:val="24"/>
                      </w:rPr>
                      <w:t>https://www.gov.uk/sanctions-embargoes-and-restrictions</w:t>
                    </w:r>
                  </w:hyperlink>
                  <w:r w:rsidR="0021008B" w:rsidRPr="008E57F7">
                    <w:rPr>
                      <w:rFonts w:ascii="Arial" w:hAnsi="Arial" w:cs="Arial"/>
                      <w:sz w:val="24"/>
                      <w:szCs w:val="24"/>
                    </w:rPr>
                    <w:t>.</w:t>
                  </w:r>
                </w:p>
                <w:p w:rsidR="008E57F7" w:rsidRDefault="008E57F7" w:rsidP="008E57F7">
                  <w:pPr>
                    <w:pStyle w:val="ListParagraph"/>
                    <w:spacing w:after="0" w:line="240" w:lineRule="auto"/>
                    <w:ind w:right="-90"/>
                    <w:jc w:val="both"/>
                    <w:rPr>
                      <w:rFonts w:ascii="Arial" w:hAnsi="Arial" w:cs="Arial"/>
                      <w:sz w:val="24"/>
                      <w:szCs w:val="24"/>
                    </w:rPr>
                  </w:pPr>
                </w:p>
                <w:p w:rsidR="008E57F7" w:rsidRDefault="0021008B" w:rsidP="008E57F7">
                  <w:pPr>
                    <w:pStyle w:val="ListParagraph"/>
                    <w:numPr>
                      <w:ilvl w:val="0"/>
                      <w:numId w:val="6"/>
                    </w:numPr>
                    <w:spacing w:after="0" w:line="240" w:lineRule="auto"/>
                    <w:ind w:right="-90"/>
                    <w:jc w:val="both"/>
                    <w:rPr>
                      <w:rFonts w:ascii="Arial" w:hAnsi="Arial" w:cs="Arial"/>
                      <w:sz w:val="24"/>
                      <w:szCs w:val="24"/>
                    </w:rPr>
                  </w:pPr>
                  <w:r w:rsidRPr="008E57F7">
                    <w:rPr>
                      <w:rFonts w:ascii="Arial" w:hAnsi="Arial" w:cs="Arial"/>
                      <w:sz w:val="24"/>
                      <w:szCs w:val="24"/>
                    </w:rPr>
                    <w:t>Please see the FAQs for more information around financial sanctions:</w:t>
                  </w:r>
                </w:p>
                <w:p w:rsidR="008E57F7" w:rsidRDefault="00755D80" w:rsidP="008E57F7">
                  <w:pPr>
                    <w:pStyle w:val="ListParagraph"/>
                    <w:spacing w:after="0" w:line="240" w:lineRule="auto"/>
                    <w:ind w:right="-90"/>
                    <w:jc w:val="both"/>
                    <w:rPr>
                      <w:rFonts w:ascii="Arial" w:hAnsi="Arial" w:cs="Arial"/>
                      <w:sz w:val="24"/>
                      <w:szCs w:val="24"/>
                    </w:rPr>
                  </w:pPr>
                  <w:hyperlink r:id="rId14" w:history="1">
                    <w:r w:rsidR="008E57F7" w:rsidRPr="00FA4C23">
                      <w:rPr>
                        <w:rStyle w:val="Hyperlink"/>
                        <w:rFonts w:ascii="Arial" w:hAnsi="Arial" w:cs="Arial"/>
                        <w:sz w:val="24"/>
                        <w:szCs w:val="24"/>
                      </w:rPr>
                      <w:t>https://www.gov.uk/government/publications/financial-sanctions-faqs</w:t>
                    </w:r>
                  </w:hyperlink>
                </w:p>
                <w:p w:rsidR="008E57F7" w:rsidRDefault="008E57F7" w:rsidP="008E57F7">
                  <w:pPr>
                    <w:pStyle w:val="ListParagraph"/>
                    <w:spacing w:after="0" w:line="240" w:lineRule="auto"/>
                    <w:ind w:right="-90"/>
                    <w:jc w:val="both"/>
                    <w:rPr>
                      <w:rFonts w:ascii="Arial" w:hAnsi="Arial" w:cs="Arial"/>
                      <w:sz w:val="24"/>
                      <w:szCs w:val="24"/>
                    </w:rPr>
                  </w:pPr>
                </w:p>
                <w:p w:rsidR="008E57F7" w:rsidRPr="0002527F" w:rsidRDefault="008E57F7" w:rsidP="008E57F7">
                  <w:pPr>
                    <w:spacing w:after="0" w:line="240" w:lineRule="auto"/>
                    <w:ind w:right="-90"/>
                    <w:jc w:val="both"/>
                    <w:rPr>
                      <w:rFonts w:ascii="Arial" w:hAnsi="Arial" w:cs="Arial"/>
                      <w:b/>
                      <w:sz w:val="24"/>
                      <w:szCs w:val="24"/>
                    </w:rPr>
                  </w:pPr>
                  <w:r w:rsidRPr="0002527F">
                    <w:rPr>
                      <w:rFonts w:ascii="Arial" w:hAnsi="Arial" w:cs="Arial"/>
                      <w:b/>
                      <w:sz w:val="24"/>
                      <w:szCs w:val="24"/>
                    </w:rPr>
                    <w:t>Enquiries/Contact Details</w:t>
                  </w:r>
                </w:p>
                <w:p w:rsidR="008E57F7" w:rsidRPr="0002527F" w:rsidRDefault="008E57F7" w:rsidP="008E57F7">
                  <w:pPr>
                    <w:spacing w:after="0" w:line="240" w:lineRule="auto"/>
                    <w:ind w:right="-90"/>
                    <w:jc w:val="both"/>
                    <w:rPr>
                      <w:rFonts w:ascii="Arial" w:hAnsi="Arial" w:cs="Arial"/>
                      <w:sz w:val="24"/>
                      <w:szCs w:val="24"/>
                    </w:rPr>
                  </w:pPr>
                </w:p>
                <w:p w:rsidR="008E57F7" w:rsidRPr="0002527F" w:rsidRDefault="008E57F7" w:rsidP="008E57F7">
                  <w:pPr>
                    <w:pStyle w:val="ListParagraph"/>
                    <w:numPr>
                      <w:ilvl w:val="0"/>
                      <w:numId w:val="1"/>
                    </w:numPr>
                    <w:spacing w:after="0" w:line="240" w:lineRule="auto"/>
                    <w:ind w:right="-90"/>
                    <w:jc w:val="both"/>
                    <w:rPr>
                      <w:rFonts w:ascii="Arial" w:hAnsi="Arial" w:cs="Arial"/>
                      <w:sz w:val="24"/>
                      <w:szCs w:val="24"/>
                    </w:rPr>
                  </w:pPr>
                  <w:r w:rsidRPr="0002527F">
                    <w:rPr>
                      <w:rFonts w:ascii="Arial" w:hAnsi="Arial" w:cs="Arial"/>
                      <w:sz w:val="24"/>
                      <w:szCs w:val="24"/>
                    </w:rPr>
                    <w:t>Non-media enquiries should be addressed to:</w:t>
                  </w:r>
                </w:p>
                <w:p w:rsidR="008E57F7" w:rsidRPr="0002527F" w:rsidRDefault="008E57F7" w:rsidP="008E57F7">
                  <w:pPr>
                    <w:spacing w:after="0" w:line="240" w:lineRule="auto"/>
                    <w:ind w:right="-90"/>
                    <w:jc w:val="both"/>
                    <w:rPr>
                      <w:rFonts w:ascii="Arial" w:hAnsi="Arial" w:cs="Arial"/>
                      <w:sz w:val="24"/>
                      <w:szCs w:val="24"/>
                    </w:rPr>
                  </w:pP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t>The Commissioner</w:t>
                  </w: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t>Financial Services Commission</w:t>
                  </w: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lastRenderedPageBreak/>
                    <w:t>Phoenix House</w:t>
                  </w: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t>Brades, MSR1110</w:t>
                  </w: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t>Montserrat</w:t>
                  </w:r>
                </w:p>
                <w:p w:rsidR="008E57F7" w:rsidRPr="0002527F" w:rsidRDefault="008E57F7" w:rsidP="008E57F7">
                  <w:pPr>
                    <w:spacing w:after="0" w:line="240" w:lineRule="auto"/>
                    <w:ind w:left="702" w:right="-90"/>
                    <w:jc w:val="both"/>
                    <w:rPr>
                      <w:rFonts w:ascii="Arial" w:hAnsi="Arial" w:cs="Arial"/>
                      <w:sz w:val="24"/>
                      <w:szCs w:val="24"/>
                    </w:rPr>
                  </w:pPr>
                  <w:r w:rsidRPr="0002527F">
                    <w:rPr>
                      <w:rFonts w:ascii="Arial" w:hAnsi="Arial" w:cs="Arial"/>
                      <w:sz w:val="24"/>
                      <w:szCs w:val="24"/>
                    </w:rPr>
                    <w:t xml:space="preserve">Email: </w:t>
                  </w:r>
                  <w:hyperlink r:id="rId15" w:history="1">
                    <w:r w:rsidRPr="0002527F">
                      <w:rPr>
                        <w:rStyle w:val="Hyperlink"/>
                        <w:rFonts w:ascii="Arial" w:hAnsi="Arial" w:cs="Arial"/>
                        <w:sz w:val="24"/>
                        <w:szCs w:val="24"/>
                      </w:rPr>
                      <w:t>fscmrat@candw.ms</w:t>
                    </w:r>
                  </w:hyperlink>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Default="008E57F7" w:rsidP="008E57F7">
                  <w:pPr>
                    <w:pStyle w:val="ListParagraph"/>
                    <w:spacing w:after="0" w:line="240" w:lineRule="auto"/>
                    <w:ind w:right="-90"/>
                    <w:jc w:val="both"/>
                    <w:rPr>
                      <w:rFonts w:ascii="Arial" w:hAnsi="Arial" w:cs="Arial"/>
                      <w:sz w:val="24"/>
                      <w:szCs w:val="24"/>
                    </w:rPr>
                  </w:pPr>
                </w:p>
                <w:p w:rsidR="008E57F7" w:rsidRPr="008E57F7" w:rsidRDefault="0021008B" w:rsidP="008E57F7">
                  <w:pPr>
                    <w:pStyle w:val="ListParagraph"/>
                    <w:spacing w:after="0" w:line="240" w:lineRule="auto"/>
                    <w:ind w:right="-90"/>
                    <w:jc w:val="center"/>
                    <w:rPr>
                      <w:rFonts w:ascii="Arial" w:hAnsi="Arial" w:cs="Arial"/>
                      <w:b/>
                      <w:sz w:val="24"/>
                      <w:szCs w:val="24"/>
                      <w:u w:val="single"/>
                    </w:rPr>
                  </w:pPr>
                  <w:r w:rsidRPr="008E57F7">
                    <w:rPr>
                      <w:rFonts w:ascii="Arial" w:hAnsi="Arial" w:cs="Arial"/>
                      <w:b/>
                      <w:sz w:val="24"/>
                      <w:szCs w:val="24"/>
                      <w:u w:val="single"/>
                    </w:rPr>
                    <w:lastRenderedPageBreak/>
                    <w:t>ANNEX TO NOTICE</w:t>
                  </w:r>
                </w:p>
                <w:p w:rsidR="008E57F7" w:rsidRPr="008E57F7" w:rsidRDefault="008E57F7" w:rsidP="008E57F7">
                  <w:pPr>
                    <w:pStyle w:val="ListParagraph"/>
                    <w:spacing w:after="0" w:line="240" w:lineRule="auto"/>
                    <w:ind w:right="-90"/>
                    <w:jc w:val="center"/>
                    <w:rPr>
                      <w:rFonts w:ascii="Arial" w:hAnsi="Arial" w:cs="Arial"/>
                      <w:b/>
                      <w:sz w:val="24"/>
                      <w:szCs w:val="24"/>
                      <w:u w:val="single"/>
                    </w:rPr>
                  </w:pPr>
                </w:p>
                <w:p w:rsidR="008E57F7" w:rsidRPr="008E57F7" w:rsidRDefault="008E57F7" w:rsidP="008E57F7">
                  <w:pPr>
                    <w:pStyle w:val="ListParagraph"/>
                    <w:spacing w:after="0" w:line="240" w:lineRule="auto"/>
                    <w:ind w:right="-90"/>
                    <w:jc w:val="both"/>
                    <w:rPr>
                      <w:rFonts w:ascii="Arial" w:hAnsi="Arial" w:cs="Arial"/>
                      <w:b/>
                      <w:sz w:val="24"/>
                      <w:szCs w:val="24"/>
                      <w:u w:val="single"/>
                    </w:rPr>
                  </w:pPr>
                </w:p>
                <w:p w:rsidR="008E57F7" w:rsidRPr="008E57F7" w:rsidRDefault="0021008B" w:rsidP="008E57F7">
                  <w:pPr>
                    <w:pStyle w:val="ListParagraph"/>
                    <w:spacing w:after="0" w:line="240" w:lineRule="auto"/>
                    <w:ind w:right="-90"/>
                    <w:jc w:val="center"/>
                    <w:rPr>
                      <w:rFonts w:ascii="Arial" w:hAnsi="Arial" w:cs="Arial"/>
                      <w:b/>
                      <w:sz w:val="24"/>
                      <w:szCs w:val="24"/>
                    </w:rPr>
                  </w:pPr>
                  <w:r w:rsidRPr="008E57F7">
                    <w:rPr>
                      <w:rFonts w:ascii="Arial" w:hAnsi="Arial" w:cs="Arial"/>
                      <w:b/>
                      <w:sz w:val="24"/>
                      <w:szCs w:val="24"/>
                    </w:rPr>
                    <w:t>FINANCIAL SANCTIONS: LIBYA</w:t>
                  </w:r>
                </w:p>
                <w:p w:rsidR="008E57F7" w:rsidRPr="008E57F7" w:rsidRDefault="008E57F7" w:rsidP="008E57F7">
                  <w:pPr>
                    <w:pStyle w:val="ListParagraph"/>
                    <w:spacing w:after="0" w:line="240" w:lineRule="auto"/>
                    <w:ind w:right="-90"/>
                    <w:jc w:val="center"/>
                    <w:rPr>
                      <w:rFonts w:ascii="Arial" w:hAnsi="Arial" w:cs="Arial"/>
                      <w:b/>
                      <w:sz w:val="24"/>
                      <w:szCs w:val="24"/>
                    </w:rPr>
                  </w:pPr>
                </w:p>
                <w:p w:rsidR="008E57F7" w:rsidRPr="008E57F7" w:rsidRDefault="0021008B" w:rsidP="008E57F7">
                  <w:pPr>
                    <w:pStyle w:val="ListParagraph"/>
                    <w:spacing w:after="0" w:line="240" w:lineRule="auto"/>
                    <w:ind w:right="-90"/>
                    <w:jc w:val="center"/>
                    <w:rPr>
                      <w:rFonts w:ascii="Arial" w:hAnsi="Arial" w:cs="Arial"/>
                      <w:b/>
                      <w:sz w:val="24"/>
                      <w:szCs w:val="24"/>
                    </w:rPr>
                  </w:pPr>
                  <w:r w:rsidRPr="008E57F7">
                    <w:rPr>
                      <w:rFonts w:ascii="Arial" w:hAnsi="Arial" w:cs="Arial"/>
                      <w:b/>
                      <w:sz w:val="24"/>
                      <w:szCs w:val="24"/>
                    </w:rPr>
                    <w:t>COUNCIL IMPLEMENTING REGULATION (EU) No 2015/813</w:t>
                  </w:r>
                </w:p>
                <w:p w:rsidR="008E57F7" w:rsidRPr="008E57F7" w:rsidRDefault="008E57F7" w:rsidP="008E57F7">
                  <w:pPr>
                    <w:pStyle w:val="ListParagraph"/>
                    <w:spacing w:after="0" w:line="240" w:lineRule="auto"/>
                    <w:ind w:right="-90"/>
                    <w:jc w:val="center"/>
                    <w:rPr>
                      <w:rFonts w:ascii="Arial" w:hAnsi="Arial" w:cs="Arial"/>
                      <w:b/>
                      <w:sz w:val="24"/>
                      <w:szCs w:val="24"/>
                    </w:rPr>
                  </w:pPr>
                </w:p>
                <w:p w:rsidR="008E57F7" w:rsidRPr="008E57F7" w:rsidRDefault="0021008B" w:rsidP="008E57F7">
                  <w:pPr>
                    <w:pStyle w:val="ListParagraph"/>
                    <w:spacing w:after="0" w:line="240" w:lineRule="auto"/>
                    <w:ind w:right="-90"/>
                    <w:jc w:val="center"/>
                    <w:rPr>
                      <w:rFonts w:ascii="Arial" w:hAnsi="Arial" w:cs="Arial"/>
                      <w:b/>
                      <w:sz w:val="24"/>
                      <w:szCs w:val="24"/>
                    </w:rPr>
                  </w:pPr>
                  <w:r w:rsidRPr="008E57F7">
                    <w:rPr>
                      <w:rFonts w:ascii="Arial" w:hAnsi="Arial" w:cs="Arial"/>
                      <w:b/>
                      <w:sz w:val="24"/>
                      <w:szCs w:val="24"/>
                    </w:rPr>
                    <w:t>ADDING ANNEX VI TO COUNCIL REGULATION (EU) No 204/2011</w:t>
                  </w:r>
                </w:p>
                <w:p w:rsidR="008E57F7" w:rsidRPr="008E57F7" w:rsidRDefault="008E57F7" w:rsidP="008E57F7">
                  <w:pPr>
                    <w:pStyle w:val="ListParagraph"/>
                    <w:spacing w:after="0" w:line="240" w:lineRule="auto"/>
                    <w:ind w:right="-90"/>
                    <w:jc w:val="both"/>
                    <w:rPr>
                      <w:rFonts w:ascii="Arial" w:hAnsi="Arial" w:cs="Arial"/>
                      <w:b/>
                      <w:sz w:val="24"/>
                      <w:szCs w:val="24"/>
                      <w:u w:val="single"/>
                    </w:rPr>
                  </w:pPr>
                </w:p>
                <w:p w:rsidR="008E57F7" w:rsidRPr="008E57F7" w:rsidRDefault="008E57F7" w:rsidP="008E57F7">
                  <w:pPr>
                    <w:pStyle w:val="ListParagraph"/>
                    <w:spacing w:after="0" w:line="240" w:lineRule="auto"/>
                    <w:ind w:right="-90"/>
                    <w:jc w:val="both"/>
                    <w:rPr>
                      <w:rFonts w:ascii="Arial" w:hAnsi="Arial" w:cs="Arial"/>
                      <w:b/>
                      <w:sz w:val="24"/>
                      <w:szCs w:val="24"/>
                      <w:u w:val="single"/>
                    </w:rPr>
                  </w:pPr>
                </w:p>
                <w:p w:rsidR="008E57F7" w:rsidRPr="008E57F7" w:rsidRDefault="0021008B" w:rsidP="008E57F7">
                  <w:pPr>
                    <w:spacing w:after="0" w:line="240" w:lineRule="auto"/>
                    <w:ind w:right="-90"/>
                    <w:jc w:val="both"/>
                    <w:rPr>
                      <w:rFonts w:ascii="Arial" w:hAnsi="Arial" w:cs="Arial"/>
                      <w:b/>
                      <w:sz w:val="24"/>
                      <w:szCs w:val="24"/>
                      <w:u w:val="single"/>
                    </w:rPr>
                  </w:pPr>
                  <w:r w:rsidRPr="008E57F7">
                    <w:rPr>
                      <w:rFonts w:ascii="Arial" w:hAnsi="Arial" w:cs="Arial"/>
                      <w:b/>
                      <w:sz w:val="24"/>
                      <w:szCs w:val="24"/>
                      <w:u w:val="single"/>
                    </w:rPr>
                    <w:t xml:space="preserve">AMENDMENTS </w:t>
                  </w:r>
                </w:p>
                <w:p w:rsidR="008E57F7" w:rsidRDefault="008E57F7" w:rsidP="008E57F7">
                  <w:pPr>
                    <w:spacing w:after="0" w:line="240" w:lineRule="auto"/>
                    <w:ind w:right="-90"/>
                    <w:jc w:val="both"/>
                    <w:rPr>
                      <w:rFonts w:ascii="Arial" w:hAnsi="Arial" w:cs="Arial"/>
                      <w:sz w:val="24"/>
                      <w:szCs w:val="24"/>
                    </w:rPr>
                  </w:pPr>
                </w:p>
                <w:p w:rsidR="008E57F7" w:rsidRDefault="0021008B" w:rsidP="008E57F7">
                  <w:pPr>
                    <w:spacing w:after="0" w:line="240" w:lineRule="auto"/>
                    <w:ind w:right="-90"/>
                    <w:jc w:val="both"/>
                    <w:rPr>
                      <w:rFonts w:ascii="Arial" w:hAnsi="Arial" w:cs="Arial"/>
                      <w:sz w:val="24"/>
                      <w:szCs w:val="24"/>
                    </w:rPr>
                  </w:pPr>
                  <w:r w:rsidRPr="008E57F7">
                    <w:rPr>
                      <w:rFonts w:ascii="Arial" w:hAnsi="Arial" w:cs="Arial"/>
                      <w:sz w:val="24"/>
                      <w:szCs w:val="24"/>
                    </w:rPr>
                    <w:t xml:space="preserve">Deleted information appears in strikethrough. Additional information appears in italics and is underlined.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spacing w:after="0" w:line="240" w:lineRule="auto"/>
                    <w:ind w:right="-90"/>
                    <w:jc w:val="both"/>
                    <w:rPr>
                      <w:rFonts w:ascii="Arial" w:hAnsi="Arial" w:cs="Arial"/>
                      <w:b/>
                      <w:sz w:val="24"/>
                      <w:szCs w:val="24"/>
                      <w:u w:val="single"/>
                    </w:rPr>
                  </w:pPr>
                  <w:r w:rsidRPr="008E57F7">
                    <w:rPr>
                      <w:rFonts w:ascii="Arial" w:hAnsi="Arial" w:cs="Arial"/>
                      <w:b/>
                      <w:sz w:val="24"/>
                      <w:szCs w:val="24"/>
                      <w:u w:val="single"/>
                    </w:rPr>
                    <w:t xml:space="preserve">Entities </w:t>
                  </w:r>
                </w:p>
                <w:p w:rsidR="008E57F7" w:rsidRDefault="008E57F7" w:rsidP="008E57F7">
                  <w:pPr>
                    <w:spacing w:after="0" w:line="240" w:lineRule="auto"/>
                    <w:ind w:right="-90"/>
                    <w:jc w:val="both"/>
                    <w:rPr>
                      <w:rFonts w:ascii="Arial" w:hAnsi="Arial" w:cs="Arial"/>
                      <w:sz w:val="24"/>
                      <w:szCs w:val="24"/>
                    </w:rPr>
                  </w:pPr>
                </w:p>
                <w:p w:rsidR="008E57F7" w:rsidRPr="008E57F7" w:rsidRDefault="0021008B" w:rsidP="008E57F7">
                  <w:pPr>
                    <w:pStyle w:val="ListParagraph"/>
                    <w:numPr>
                      <w:ilvl w:val="1"/>
                      <w:numId w:val="7"/>
                    </w:numPr>
                    <w:spacing w:after="0" w:line="240" w:lineRule="auto"/>
                    <w:ind w:left="972" w:right="-90" w:hanging="360"/>
                    <w:jc w:val="both"/>
                    <w:rPr>
                      <w:rFonts w:ascii="Arial" w:hAnsi="Arial" w:cs="Arial"/>
                      <w:b/>
                      <w:sz w:val="24"/>
                      <w:szCs w:val="24"/>
                    </w:rPr>
                  </w:pPr>
                  <w:r w:rsidRPr="008E57F7">
                    <w:rPr>
                      <w:rFonts w:ascii="Arial" w:hAnsi="Arial" w:cs="Arial"/>
                      <w:b/>
                      <w:sz w:val="24"/>
                      <w:szCs w:val="24"/>
                    </w:rPr>
                    <w:t xml:space="preserve">LIBYAN INVESTMENT AUTHORITY </w:t>
                  </w:r>
                </w:p>
                <w:p w:rsidR="008E57F7" w:rsidRPr="008E57F7" w:rsidRDefault="0021008B" w:rsidP="008E57F7">
                  <w:pPr>
                    <w:pStyle w:val="ListParagraph"/>
                    <w:spacing w:after="0" w:line="240" w:lineRule="auto"/>
                    <w:ind w:left="972" w:right="-90"/>
                    <w:jc w:val="both"/>
                    <w:rPr>
                      <w:rFonts w:ascii="Arial" w:hAnsi="Arial" w:cs="Arial"/>
                      <w:sz w:val="24"/>
                      <w:szCs w:val="24"/>
                    </w:rPr>
                  </w:pPr>
                  <w:proofErr w:type="spellStart"/>
                  <w:r w:rsidRPr="008E57F7">
                    <w:rPr>
                      <w:rFonts w:ascii="Arial" w:hAnsi="Arial" w:cs="Arial"/>
                      <w:b/>
                      <w:sz w:val="24"/>
                      <w:szCs w:val="24"/>
                    </w:rPr>
                    <w:t>a.k.a</w:t>
                  </w:r>
                  <w:proofErr w:type="spellEnd"/>
                  <w:r w:rsidRPr="008E57F7">
                    <w:rPr>
                      <w:rFonts w:ascii="Arial" w:hAnsi="Arial" w:cs="Arial"/>
                      <w:sz w:val="24"/>
                      <w:szCs w:val="24"/>
                    </w:rPr>
                    <w:t xml:space="preserve">: Libyan </w:t>
                  </w:r>
                  <w:r w:rsidRPr="008E57F7">
                    <w:rPr>
                      <w:rFonts w:ascii="Arial" w:hAnsi="Arial" w:cs="Arial"/>
                      <w:strike/>
                      <w:sz w:val="24"/>
                      <w:szCs w:val="24"/>
                    </w:rPr>
                    <w:t>Arab</w:t>
                  </w:r>
                  <w:r w:rsidRPr="008E57F7">
                    <w:rPr>
                      <w:rFonts w:ascii="Arial" w:hAnsi="Arial" w:cs="Arial"/>
                      <w:sz w:val="24"/>
                      <w:szCs w:val="24"/>
                    </w:rPr>
                    <w:t xml:space="preserve"> Foreign Investment Company (</w:t>
                  </w:r>
                  <w:r w:rsidRPr="008E57F7">
                    <w:rPr>
                      <w:rFonts w:ascii="Arial" w:hAnsi="Arial" w:cs="Arial"/>
                      <w:i/>
                      <w:sz w:val="24"/>
                      <w:szCs w:val="24"/>
                      <w:u w:val="single"/>
                    </w:rPr>
                    <w:t>LFIC</w:t>
                  </w:r>
                  <w:r w:rsidRPr="008E57F7">
                    <w:rPr>
                      <w:rFonts w:ascii="Arial" w:hAnsi="Arial" w:cs="Arial"/>
                      <w:sz w:val="24"/>
                      <w:szCs w:val="24"/>
                    </w:rPr>
                    <w:t xml:space="preserve"> </w:t>
                  </w:r>
                  <w:r w:rsidRPr="008E57F7">
                    <w:rPr>
                      <w:rFonts w:ascii="Arial" w:hAnsi="Arial" w:cs="Arial"/>
                      <w:strike/>
                      <w:sz w:val="24"/>
                      <w:szCs w:val="24"/>
                    </w:rPr>
                    <w:t>LAFICO</w:t>
                  </w:r>
                  <w:r w:rsidRPr="008E57F7">
                    <w:rPr>
                      <w:rFonts w:ascii="Arial" w:hAnsi="Arial" w:cs="Arial"/>
                      <w:sz w:val="24"/>
                      <w:szCs w:val="24"/>
                    </w:rPr>
                    <w:t xml:space="preserve">) </w:t>
                  </w:r>
                  <w:r w:rsidRPr="008E57F7">
                    <w:rPr>
                      <w:rFonts w:ascii="Arial" w:hAnsi="Arial" w:cs="Arial"/>
                      <w:b/>
                      <w:sz w:val="24"/>
                      <w:szCs w:val="24"/>
                    </w:rPr>
                    <w:t>Addres</w:t>
                  </w:r>
                  <w:r w:rsidRPr="008E57F7">
                    <w:rPr>
                      <w:rFonts w:ascii="Arial" w:hAnsi="Arial" w:cs="Arial"/>
                      <w:sz w:val="24"/>
                      <w:szCs w:val="24"/>
                    </w:rPr>
                    <w:t xml:space="preserve">s: 1 </w:t>
                  </w:r>
                  <w:proofErr w:type="spellStart"/>
                  <w:r w:rsidRPr="008E57F7">
                    <w:rPr>
                      <w:rFonts w:ascii="Arial" w:hAnsi="Arial" w:cs="Arial"/>
                      <w:sz w:val="24"/>
                      <w:szCs w:val="24"/>
                    </w:rPr>
                    <w:t>Fateh</w:t>
                  </w:r>
                  <w:proofErr w:type="spellEnd"/>
                  <w:r w:rsidRPr="008E57F7">
                    <w:rPr>
                      <w:rFonts w:ascii="Arial" w:hAnsi="Arial" w:cs="Arial"/>
                      <w:sz w:val="24"/>
                      <w:szCs w:val="24"/>
                    </w:rPr>
                    <w:t xml:space="preserve"> Tower Office, No 99 22nd Floor, </w:t>
                  </w:r>
                  <w:proofErr w:type="spellStart"/>
                  <w:r w:rsidRPr="008E57F7">
                    <w:rPr>
                      <w:rFonts w:ascii="Arial" w:hAnsi="Arial" w:cs="Arial"/>
                      <w:sz w:val="24"/>
                      <w:szCs w:val="24"/>
                    </w:rPr>
                    <w:t>Borgaida</w:t>
                  </w:r>
                  <w:proofErr w:type="spellEnd"/>
                  <w:r w:rsidRPr="008E57F7">
                    <w:rPr>
                      <w:rFonts w:ascii="Arial" w:hAnsi="Arial" w:cs="Arial"/>
                      <w:sz w:val="24"/>
                      <w:szCs w:val="24"/>
                    </w:rPr>
                    <w:t xml:space="preserve"> Street, Tripoli, Libya, 1103. </w:t>
                  </w:r>
                  <w:r w:rsidRPr="008E57F7">
                    <w:rPr>
                      <w:rFonts w:ascii="Arial" w:hAnsi="Arial" w:cs="Arial"/>
                      <w:b/>
                      <w:sz w:val="24"/>
                      <w:szCs w:val="24"/>
                    </w:rPr>
                    <w:t>Other Information</w:t>
                  </w:r>
                  <w:r w:rsidRPr="008E57F7">
                    <w:rPr>
                      <w:rFonts w:ascii="Arial" w:hAnsi="Arial" w:cs="Arial"/>
                      <w:sz w:val="24"/>
                      <w:szCs w:val="24"/>
                    </w:rPr>
                    <w:t xml:space="preserve">: UN listing. Asset freeze applies only to funds of entity as of 16 Sept 2011 held outside Libya on that date (Article 5(4) of </w:t>
                  </w:r>
                  <w:proofErr w:type="spellStart"/>
                  <w:r w:rsidRPr="008E57F7">
                    <w:rPr>
                      <w:rFonts w:ascii="Arial" w:hAnsi="Arial" w:cs="Arial"/>
                      <w:sz w:val="24"/>
                      <w:szCs w:val="24"/>
                    </w:rPr>
                    <w:t>Reg</w:t>
                  </w:r>
                  <w:proofErr w:type="spellEnd"/>
                  <w:r w:rsidRPr="008E57F7">
                    <w:rPr>
                      <w:rFonts w:ascii="Arial" w:hAnsi="Arial" w:cs="Arial"/>
                      <w:sz w:val="24"/>
                      <w:szCs w:val="24"/>
                    </w:rPr>
                    <w:t xml:space="preserve"> 204/</w:t>
                  </w:r>
                  <w:r w:rsidRPr="008E57F7">
                    <w:rPr>
                      <w:rFonts w:ascii="Arial" w:hAnsi="Arial" w:cs="Arial"/>
                      <w:i/>
                      <w:sz w:val="24"/>
                      <w:szCs w:val="24"/>
                      <w:u w:val="single"/>
                    </w:rPr>
                    <w:t>2011</w:t>
                  </w:r>
                  <w:r w:rsidRPr="008E57F7">
                    <w:rPr>
                      <w:rFonts w:ascii="Arial" w:hAnsi="Arial" w:cs="Arial"/>
                      <w:sz w:val="24"/>
                      <w:szCs w:val="24"/>
                    </w:rPr>
                    <w:t xml:space="preserve"> applies). No prohibition on making funds available to entity. </w:t>
                  </w:r>
                  <w:r w:rsidRPr="008E57F7">
                    <w:rPr>
                      <w:rFonts w:ascii="Arial" w:hAnsi="Arial" w:cs="Arial"/>
                      <w:b/>
                      <w:sz w:val="24"/>
                      <w:szCs w:val="24"/>
                    </w:rPr>
                    <w:t>Listed on</w:t>
                  </w:r>
                  <w:r w:rsidRPr="008E57F7">
                    <w:rPr>
                      <w:rFonts w:ascii="Arial" w:hAnsi="Arial" w:cs="Arial"/>
                      <w:sz w:val="24"/>
                      <w:szCs w:val="24"/>
                    </w:rPr>
                    <w:t xml:space="preserve">: </w:t>
                  </w:r>
                  <w:r w:rsidRPr="008E57F7">
                    <w:rPr>
                      <w:rFonts w:ascii="Arial" w:hAnsi="Arial" w:cs="Arial"/>
                      <w:strike/>
                      <w:sz w:val="24"/>
                      <w:szCs w:val="24"/>
                    </w:rPr>
                    <w:t>11/03/2011</w:t>
                  </w:r>
                  <w:r w:rsidRPr="008E57F7">
                    <w:rPr>
                      <w:rFonts w:ascii="Arial" w:hAnsi="Arial" w:cs="Arial"/>
                      <w:sz w:val="24"/>
                      <w:szCs w:val="24"/>
                    </w:rPr>
                    <w:t xml:space="preserve"> 17/03/2011 </w:t>
                  </w:r>
                  <w:r w:rsidRPr="008E57F7">
                    <w:rPr>
                      <w:rFonts w:ascii="Arial" w:hAnsi="Arial" w:cs="Arial"/>
                      <w:b/>
                      <w:sz w:val="24"/>
                      <w:szCs w:val="24"/>
                    </w:rPr>
                    <w:t>Last Updated</w:t>
                  </w:r>
                  <w:r w:rsidRPr="008E57F7">
                    <w:rPr>
                      <w:rFonts w:ascii="Arial" w:hAnsi="Arial" w:cs="Arial"/>
                      <w:sz w:val="24"/>
                      <w:szCs w:val="24"/>
                    </w:rPr>
                    <w:t xml:space="preserve">: 02/06/2015 </w:t>
                  </w:r>
                  <w:r w:rsidRPr="008E57F7">
                    <w:rPr>
                      <w:rFonts w:ascii="Arial" w:hAnsi="Arial" w:cs="Arial"/>
                      <w:b/>
                      <w:sz w:val="24"/>
                      <w:szCs w:val="24"/>
                    </w:rPr>
                    <w:t>Group ID</w:t>
                  </w:r>
                  <w:r w:rsidRPr="008E57F7">
                    <w:rPr>
                      <w:rFonts w:ascii="Arial" w:hAnsi="Arial" w:cs="Arial"/>
                      <w:sz w:val="24"/>
                      <w:szCs w:val="24"/>
                    </w:rPr>
                    <w:t xml:space="preserve">: 11666. </w:t>
                  </w:r>
                </w:p>
                <w:p w:rsidR="008E57F7" w:rsidRDefault="008E57F7" w:rsidP="008E57F7">
                  <w:pPr>
                    <w:spacing w:after="0" w:line="240" w:lineRule="auto"/>
                    <w:ind w:left="972" w:right="-90" w:hanging="360"/>
                    <w:jc w:val="both"/>
                    <w:rPr>
                      <w:rFonts w:ascii="Arial" w:hAnsi="Arial" w:cs="Arial"/>
                      <w:sz w:val="24"/>
                      <w:szCs w:val="24"/>
                    </w:rPr>
                  </w:pPr>
                </w:p>
                <w:p w:rsidR="008E57F7" w:rsidRPr="008E57F7" w:rsidRDefault="0021008B" w:rsidP="008E57F7">
                  <w:pPr>
                    <w:pStyle w:val="ListParagraph"/>
                    <w:numPr>
                      <w:ilvl w:val="1"/>
                      <w:numId w:val="7"/>
                    </w:numPr>
                    <w:spacing w:after="0" w:line="240" w:lineRule="auto"/>
                    <w:ind w:left="972" w:right="-90" w:hanging="360"/>
                    <w:jc w:val="both"/>
                    <w:rPr>
                      <w:rFonts w:ascii="Arial" w:hAnsi="Arial" w:cs="Arial"/>
                      <w:b/>
                      <w:sz w:val="24"/>
                      <w:szCs w:val="24"/>
                    </w:rPr>
                  </w:pPr>
                  <w:r w:rsidRPr="008E57F7">
                    <w:rPr>
                      <w:rFonts w:ascii="Arial" w:hAnsi="Arial" w:cs="Arial"/>
                      <w:b/>
                      <w:sz w:val="24"/>
                      <w:szCs w:val="24"/>
                    </w:rPr>
                    <w:t xml:space="preserve">LIBYAN </w:t>
                  </w:r>
                  <w:r w:rsidRPr="00E86488">
                    <w:rPr>
                      <w:rFonts w:ascii="Arial" w:hAnsi="Arial" w:cs="Arial"/>
                      <w:b/>
                      <w:strike/>
                      <w:sz w:val="24"/>
                      <w:szCs w:val="24"/>
                    </w:rPr>
                    <w:t>LIBYA</w:t>
                  </w:r>
                  <w:r w:rsidRPr="008E57F7">
                    <w:rPr>
                      <w:rFonts w:ascii="Arial" w:hAnsi="Arial" w:cs="Arial"/>
                      <w:b/>
                      <w:sz w:val="24"/>
                      <w:szCs w:val="24"/>
                    </w:rPr>
                    <w:t xml:space="preserve"> AFRICA INVESTMENT PORTFOLIO </w:t>
                  </w:r>
                </w:p>
                <w:p w:rsidR="0021008B" w:rsidRPr="008E57F7" w:rsidRDefault="0021008B" w:rsidP="008E57F7">
                  <w:pPr>
                    <w:pStyle w:val="ListParagraph"/>
                    <w:spacing w:after="0" w:line="240" w:lineRule="auto"/>
                    <w:ind w:left="972" w:right="-90"/>
                    <w:jc w:val="both"/>
                    <w:rPr>
                      <w:rFonts w:ascii="Arial" w:hAnsi="Arial" w:cs="Arial"/>
                      <w:sz w:val="24"/>
                      <w:szCs w:val="24"/>
                    </w:rPr>
                  </w:pPr>
                  <w:r w:rsidRPr="008E57F7">
                    <w:rPr>
                      <w:rFonts w:ascii="Arial" w:hAnsi="Arial" w:cs="Arial"/>
                      <w:b/>
                      <w:sz w:val="24"/>
                      <w:szCs w:val="24"/>
                    </w:rPr>
                    <w:t>Address</w:t>
                  </w:r>
                  <w:r w:rsidRPr="008E57F7">
                    <w:rPr>
                      <w:rFonts w:ascii="Arial" w:hAnsi="Arial" w:cs="Arial"/>
                      <w:sz w:val="24"/>
                      <w:szCs w:val="24"/>
                    </w:rPr>
                    <w:t xml:space="preserve">: Jamahiriya Street, LAP Building, PO Box 91330, Tripoli, Libya. </w:t>
                  </w:r>
                  <w:r w:rsidRPr="008E57F7">
                    <w:rPr>
                      <w:rFonts w:ascii="Arial" w:hAnsi="Arial" w:cs="Arial"/>
                      <w:b/>
                      <w:sz w:val="24"/>
                      <w:szCs w:val="24"/>
                    </w:rPr>
                    <w:t>Other Information</w:t>
                  </w:r>
                  <w:r w:rsidRPr="008E57F7">
                    <w:rPr>
                      <w:rFonts w:ascii="Arial" w:hAnsi="Arial" w:cs="Arial"/>
                      <w:sz w:val="24"/>
                      <w:szCs w:val="24"/>
                    </w:rPr>
                    <w:t xml:space="preserve">: UN listing. Asset freeze applies only to funds of entity as of 16 Sept 2011 held outside Libya on that date (Article 5(4) of </w:t>
                  </w:r>
                  <w:proofErr w:type="spellStart"/>
                  <w:r w:rsidRPr="008E57F7">
                    <w:rPr>
                      <w:rFonts w:ascii="Arial" w:hAnsi="Arial" w:cs="Arial"/>
                      <w:sz w:val="24"/>
                      <w:szCs w:val="24"/>
                    </w:rPr>
                    <w:t>Reg</w:t>
                  </w:r>
                  <w:proofErr w:type="spellEnd"/>
                  <w:r w:rsidRPr="008E57F7">
                    <w:rPr>
                      <w:rFonts w:ascii="Arial" w:hAnsi="Arial" w:cs="Arial"/>
                      <w:sz w:val="24"/>
                      <w:szCs w:val="24"/>
                    </w:rPr>
                    <w:t xml:space="preserve"> 204/</w:t>
                  </w:r>
                  <w:r w:rsidRPr="008E57F7">
                    <w:rPr>
                      <w:rFonts w:ascii="Arial" w:hAnsi="Arial" w:cs="Arial"/>
                      <w:i/>
                      <w:sz w:val="24"/>
                      <w:szCs w:val="24"/>
                      <w:u w:val="single"/>
                    </w:rPr>
                    <w:t xml:space="preserve">2011 </w:t>
                  </w:r>
                  <w:r w:rsidRPr="008E57F7">
                    <w:rPr>
                      <w:rFonts w:ascii="Arial" w:hAnsi="Arial" w:cs="Arial"/>
                      <w:sz w:val="24"/>
                      <w:szCs w:val="24"/>
                    </w:rPr>
                    <w:t xml:space="preserve">applies). No prohibition on making funds available to entity. </w:t>
                  </w:r>
                  <w:r w:rsidRPr="008E57F7">
                    <w:rPr>
                      <w:rFonts w:ascii="Arial" w:hAnsi="Arial" w:cs="Arial"/>
                      <w:b/>
                      <w:sz w:val="24"/>
                      <w:szCs w:val="24"/>
                    </w:rPr>
                    <w:t>Listed on</w:t>
                  </w:r>
                  <w:r w:rsidRPr="008E57F7">
                    <w:rPr>
                      <w:rFonts w:ascii="Arial" w:hAnsi="Arial" w:cs="Arial"/>
                      <w:sz w:val="24"/>
                      <w:szCs w:val="24"/>
                    </w:rPr>
                    <w:t xml:space="preserve">: </w:t>
                  </w:r>
                  <w:r w:rsidRPr="008E57F7">
                    <w:rPr>
                      <w:rFonts w:ascii="Arial" w:hAnsi="Arial" w:cs="Arial"/>
                      <w:strike/>
                      <w:sz w:val="24"/>
                      <w:szCs w:val="24"/>
                    </w:rPr>
                    <w:t>11/03/2011</w:t>
                  </w:r>
                  <w:r w:rsidRPr="008E57F7">
                    <w:rPr>
                      <w:rFonts w:ascii="Arial" w:hAnsi="Arial" w:cs="Arial"/>
                      <w:sz w:val="24"/>
                      <w:szCs w:val="24"/>
                    </w:rPr>
                    <w:t xml:space="preserve"> </w:t>
                  </w:r>
                  <w:r w:rsidRPr="008E57F7">
                    <w:rPr>
                      <w:rFonts w:ascii="Arial" w:hAnsi="Arial" w:cs="Arial"/>
                      <w:i/>
                      <w:sz w:val="24"/>
                      <w:szCs w:val="24"/>
                      <w:u w:val="single"/>
                    </w:rPr>
                    <w:t>17/03/2011</w:t>
                  </w:r>
                  <w:r w:rsidRPr="008E57F7">
                    <w:rPr>
                      <w:rFonts w:ascii="Arial" w:hAnsi="Arial" w:cs="Arial"/>
                      <w:sz w:val="24"/>
                      <w:szCs w:val="24"/>
                    </w:rPr>
                    <w:t xml:space="preserve"> </w:t>
                  </w:r>
                  <w:r w:rsidRPr="008E57F7">
                    <w:rPr>
                      <w:rFonts w:ascii="Arial" w:hAnsi="Arial" w:cs="Arial"/>
                      <w:b/>
                      <w:sz w:val="24"/>
                      <w:szCs w:val="24"/>
                    </w:rPr>
                    <w:t>Last Updated</w:t>
                  </w:r>
                  <w:r w:rsidRPr="008E57F7">
                    <w:rPr>
                      <w:rFonts w:ascii="Arial" w:hAnsi="Arial" w:cs="Arial"/>
                      <w:sz w:val="24"/>
                      <w:szCs w:val="24"/>
                    </w:rPr>
                    <w:t xml:space="preserve">: 02/06/2015 </w:t>
                  </w:r>
                  <w:r w:rsidRPr="008E57F7">
                    <w:rPr>
                      <w:rFonts w:ascii="Arial" w:hAnsi="Arial" w:cs="Arial"/>
                      <w:b/>
                      <w:sz w:val="24"/>
                      <w:szCs w:val="24"/>
                    </w:rPr>
                    <w:t>Group ID</w:t>
                  </w:r>
                  <w:r w:rsidRPr="008E57F7">
                    <w:rPr>
                      <w:rFonts w:ascii="Arial" w:hAnsi="Arial" w:cs="Arial"/>
                      <w:sz w:val="24"/>
                      <w:szCs w:val="24"/>
                    </w:rPr>
                    <w:t xml:space="preserve">: 11663. </w:t>
                  </w:r>
                </w:p>
                <w:p w:rsidR="0021008B" w:rsidRDefault="0021008B" w:rsidP="00AC4F7C">
                  <w:pPr>
                    <w:spacing w:after="0" w:line="240" w:lineRule="auto"/>
                    <w:ind w:right="-90"/>
                    <w:jc w:val="both"/>
                  </w:pPr>
                </w:p>
                <w:p w:rsidR="00AC4F7C" w:rsidRPr="0002527F" w:rsidRDefault="00AC4F7C" w:rsidP="00AC4F7C">
                  <w:pPr>
                    <w:pStyle w:val="Default"/>
                    <w:ind w:left="720" w:right="-90"/>
                    <w:rPr>
                      <w:rFonts w:ascii="Arial" w:hAnsi="Arial" w:cs="Arial"/>
                      <w:b/>
                    </w:rPr>
                  </w:pPr>
                </w:p>
                <w:p w:rsidR="00AC4F7C" w:rsidRPr="0002527F" w:rsidRDefault="00AC4F7C" w:rsidP="00AC4F7C">
                  <w:pPr>
                    <w:pStyle w:val="Default"/>
                    <w:ind w:left="720" w:right="-90"/>
                    <w:rPr>
                      <w:rFonts w:ascii="Arial" w:hAnsi="Arial" w:cs="Arial"/>
                      <w:b/>
                    </w:rPr>
                  </w:pPr>
                </w:p>
                <w:p w:rsidR="00AC4F7C" w:rsidRPr="0002527F" w:rsidRDefault="00AC4F7C" w:rsidP="00AC4F7C">
                  <w:pPr>
                    <w:spacing w:after="0" w:line="240" w:lineRule="auto"/>
                    <w:ind w:right="-90"/>
                    <w:jc w:val="both"/>
                    <w:rPr>
                      <w:rFonts w:ascii="Arial" w:hAnsi="Arial" w:cs="Arial"/>
                      <w:sz w:val="24"/>
                      <w:szCs w:val="24"/>
                    </w:rPr>
                  </w:pPr>
                </w:p>
                <w:p w:rsidR="00AC4F7C" w:rsidRPr="0002527F" w:rsidRDefault="00AC4F7C" w:rsidP="00AC4F7C">
                  <w:pPr>
                    <w:spacing w:after="0" w:line="240" w:lineRule="auto"/>
                    <w:ind w:right="-90"/>
                    <w:jc w:val="both"/>
                    <w:rPr>
                      <w:rFonts w:ascii="Arial" w:hAnsi="Arial" w:cs="Arial"/>
                      <w:b/>
                      <w:sz w:val="24"/>
                      <w:szCs w:val="24"/>
                    </w:rPr>
                  </w:pPr>
                  <w:r w:rsidRPr="0002527F">
                    <w:rPr>
                      <w:rFonts w:ascii="Arial" w:hAnsi="Arial" w:cs="Arial"/>
                      <w:b/>
                      <w:sz w:val="24"/>
                      <w:szCs w:val="24"/>
                    </w:rPr>
                    <w:t>Financial Services Commission</w:t>
                  </w:r>
                </w:p>
                <w:p w:rsidR="009D3654" w:rsidRPr="009D3654" w:rsidRDefault="0021008B" w:rsidP="008E57F7">
                  <w:pPr>
                    <w:spacing w:after="0" w:line="240" w:lineRule="auto"/>
                    <w:ind w:right="-90"/>
                    <w:jc w:val="both"/>
                    <w:rPr>
                      <w:rFonts w:ascii="Arial" w:hAnsi="Arial" w:cs="Arial"/>
                      <w:b/>
                      <w:sz w:val="24"/>
                      <w:szCs w:val="24"/>
                    </w:rPr>
                  </w:pPr>
                  <w:r>
                    <w:rPr>
                      <w:rFonts w:ascii="Arial" w:hAnsi="Arial" w:cs="Arial"/>
                      <w:b/>
                      <w:sz w:val="24"/>
                      <w:szCs w:val="24"/>
                    </w:rPr>
                    <w:t>02/06</w:t>
                  </w:r>
                  <w:r w:rsidR="00AC4F7C" w:rsidRPr="0002527F">
                    <w:rPr>
                      <w:rFonts w:ascii="Arial" w:hAnsi="Arial" w:cs="Arial"/>
                      <w:b/>
                      <w:sz w:val="24"/>
                      <w:szCs w:val="24"/>
                    </w:rPr>
                    <w:t>/2015</w:t>
                  </w:r>
                </w:p>
              </w:tc>
            </w:tr>
          </w:tbl>
          <w:p w:rsidR="00A3089A" w:rsidRPr="009A4A89" w:rsidRDefault="00A3089A" w:rsidP="00AC4F7C">
            <w:pPr>
              <w:spacing w:after="0" w:line="240" w:lineRule="auto"/>
              <w:ind w:right="-90"/>
              <w:jc w:val="both"/>
              <w:rPr>
                <w:rFonts w:ascii="Arial" w:hAnsi="Arial" w:cs="Arial"/>
                <w:sz w:val="24"/>
                <w:szCs w:val="24"/>
              </w:rPr>
            </w:pPr>
          </w:p>
        </w:tc>
      </w:tr>
    </w:tbl>
    <w:p w:rsidR="0051414A" w:rsidRPr="009A4A89" w:rsidRDefault="0051414A" w:rsidP="0021008B">
      <w:pPr>
        <w:spacing w:after="0" w:line="240" w:lineRule="auto"/>
        <w:jc w:val="both"/>
      </w:pPr>
    </w:p>
    <w:sectPr w:rsidR="0051414A" w:rsidRPr="009A4A89"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3D" w:rsidRDefault="0066763D" w:rsidP="00A214FB">
      <w:pPr>
        <w:spacing w:after="0" w:line="240" w:lineRule="auto"/>
      </w:pPr>
      <w:r>
        <w:separator/>
      </w:r>
    </w:p>
  </w:endnote>
  <w:endnote w:type="continuationSeparator" w:id="1">
    <w:p w:rsidR="0066763D" w:rsidRDefault="0066763D"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3D" w:rsidRDefault="0066763D" w:rsidP="00A214FB">
      <w:pPr>
        <w:spacing w:after="0" w:line="240" w:lineRule="auto"/>
      </w:pPr>
      <w:r>
        <w:separator/>
      </w:r>
    </w:p>
  </w:footnote>
  <w:footnote w:type="continuationSeparator" w:id="1">
    <w:p w:rsidR="0066763D" w:rsidRDefault="0066763D"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90E"/>
    <w:multiLevelType w:val="hybridMultilevel"/>
    <w:tmpl w:val="66600554"/>
    <w:lvl w:ilvl="0" w:tplc="A30ECF54">
      <w:start w:val="1"/>
      <w:numFmt w:val="lowerRoman"/>
      <w:lvlText w:val="%1."/>
      <w:lvlJc w:val="left"/>
      <w:pPr>
        <w:ind w:left="1080" w:hanging="720"/>
      </w:pPr>
      <w:rPr>
        <w:rFonts w:hint="default"/>
      </w:rPr>
    </w:lvl>
    <w:lvl w:ilvl="1" w:tplc="DE040114">
      <w:start w:val="1"/>
      <w:numFmt w:val="decimal"/>
      <w:lvlText w:val="%2."/>
      <w:lvlJc w:val="left"/>
      <w:pPr>
        <w:ind w:left="108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42C34F8"/>
    <w:multiLevelType w:val="hybridMultilevel"/>
    <w:tmpl w:val="AA1EB17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6A2F55"/>
    <w:multiLevelType w:val="hybridMultilevel"/>
    <w:tmpl w:val="12D61F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
    <w:nsid w:val="154822B9"/>
    <w:multiLevelType w:val="hybridMultilevel"/>
    <w:tmpl w:val="86FAAC5E"/>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F8D2B6B"/>
    <w:multiLevelType w:val="hybridMultilevel"/>
    <w:tmpl w:val="2130B21C"/>
    <w:lvl w:ilvl="0" w:tplc="F0488C58">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30E044B0"/>
    <w:multiLevelType w:val="hybridMultilevel"/>
    <w:tmpl w:val="D0F26EC0"/>
    <w:lvl w:ilvl="0" w:tplc="1A2C8AAA">
      <w:start w:val="1"/>
      <w:numFmt w:val="decimal"/>
      <w:lvlText w:val="%1."/>
      <w:lvlJc w:val="left"/>
      <w:pPr>
        <w:ind w:left="144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5327405F"/>
    <w:multiLevelType w:val="hybridMultilevel"/>
    <w:tmpl w:val="9F6A19E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7">
    <w:nsid w:val="5DEC65E5"/>
    <w:multiLevelType w:val="hybridMultilevel"/>
    <w:tmpl w:val="657822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63C419E5"/>
    <w:multiLevelType w:val="hybridMultilevel"/>
    <w:tmpl w:val="88EC5E82"/>
    <w:lvl w:ilvl="0" w:tplc="307C8EDE">
      <w:start w:val="1"/>
      <w:numFmt w:val="lowerRoman"/>
      <w:lvlText w:val="%1."/>
      <w:lvlJc w:val="left"/>
      <w:pPr>
        <w:ind w:left="1080" w:hanging="720"/>
      </w:pPr>
      <w:rPr>
        <w:rFonts w:hint="default"/>
      </w:rPr>
    </w:lvl>
    <w:lvl w:ilvl="1" w:tplc="29F88CC2">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689A25D3"/>
    <w:multiLevelType w:val="hybridMultilevel"/>
    <w:tmpl w:val="8CAC3220"/>
    <w:lvl w:ilvl="0" w:tplc="C720CA12">
      <w:start w:val="1"/>
      <w:numFmt w:val="decimal"/>
      <w:lvlText w:val="%1."/>
      <w:lvlJc w:val="left"/>
      <w:pPr>
        <w:ind w:left="720" w:hanging="360"/>
      </w:pPr>
      <w:rPr>
        <w:rFonts w:ascii="Arial" w:hAnsi="Arial" w:cs="Arial" w:hint="default"/>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9"/>
  </w:num>
  <w:num w:numId="7">
    <w:abstractNumId w:val="8"/>
  </w:num>
  <w:num w:numId="8">
    <w:abstractNumId w:val="1"/>
  </w:num>
  <w:num w:numId="9">
    <w:abstractNumId w:val="3"/>
  </w:num>
  <w:num w:numId="10">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2527F"/>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1F7AC4"/>
    <w:rsid w:val="00200BC9"/>
    <w:rsid w:val="00203218"/>
    <w:rsid w:val="0021008B"/>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4424"/>
    <w:rsid w:val="00376FE1"/>
    <w:rsid w:val="00381D34"/>
    <w:rsid w:val="00383BFA"/>
    <w:rsid w:val="003944DD"/>
    <w:rsid w:val="003A0A7C"/>
    <w:rsid w:val="003A6C90"/>
    <w:rsid w:val="003B5286"/>
    <w:rsid w:val="003B5954"/>
    <w:rsid w:val="003D1BB7"/>
    <w:rsid w:val="003D2BBA"/>
    <w:rsid w:val="003D66AE"/>
    <w:rsid w:val="003D6FDE"/>
    <w:rsid w:val="003D7B68"/>
    <w:rsid w:val="003E6047"/>
    <w:rsid w:val="003F3D5E"/>
    <w:rsid w:val="003F4A12"/>
    <w:rsid w:val="003F52AE"/>
    <w:rsid w:val="003F5F98"/>
    <w:rsid w:val="003F73D0"/>
    <w:rsid w:val="00401679"/>
    <w:rsid w:val="004110BF"/>
    <w:rsid w:val="004177D2"/>
    <w:rsid w:val="00417A71"/>
    <w:rsid w:val="00424A69"/>
    <w:rsid w:val="00440743"/>
    <w:rsid w:val="004415A3"/>
    <w:rsid w:val="0044173C"/>
    <w:rsid w:val="00442436"/>
    <w:rsid w:val="004430A7"/>
    <w:rsid w:val="004440B0"/>
    <w:rsid w:val="00445816"/>
    <w:rsid w:val="00446DDC"/>
    <w:rsid w:val="004477C9"/>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6D70"/>
    <w:rsid w:val="00541C34"/>
    <w:rsid w:val="00550C9D"/>
    <w:rsid w:val="00551EFB"/>
    <w:rsid w:val="0055287E"/>
    <w:rsid w:val="00554081"/>
    <w:rsid w:val="00554F1D"/>
    <w:rsid w:val="005551D9"/>
    <w:rsid w:val="005675B7"/>
    <w:rsid w:val="005705A9"/>
    <w:rsid w:val="0058072A"/>
    <w:rsid w:val="00581B89"/>
    <w:rsid w:val="00583B2F"/>
    <w:rsid w:val="005848EA"/>
    <w:rsid w:val="00590254"/>
    <w:rsid w:val="005935D2"/>
    <w:rsid w:val="005B3428"/>
    <w:rsid w:val="005B40D1"/>
    <w:rsid w:val="005B5C99"/>
    <w:rsid w:val="005B7CFD"/>
    <w:rsid w:val="005C6C3F"/>
    <w:rsid w:val="005D32C0"/>
    <w:rsid w:val="005D3577"/>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3D"/>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55D80"/>
    <w:rsid w:val="00764FB0"/>
    <w:rsid w:val="0076616B"/>
    <w:rsid w:val="00766CB2"/>
    <w:rsid w:val="00787E3D"/>
    <w:rsid w:val="00794955"/>
    <w:rsid w:val="00794DEC"/>
    <w:rsid w:val="00796EA8"/>
    <w:rsid w:val="007A0964"/>
    <w:rsid w:val="007A23CF"/>
    <w:rsid w:val="007A4548"/>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15BD"/>
    <w:rsid w:val="008923E8"/>
    <w:rsid w:val="008A3322"/>
    <w:rsid w:val="008B175E"/>
    <w:rsid w:val="008D786D"/>
    <w:rsid w:val="008E4FAA"/>
    <w:rsid w:val="008E57F7"/>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877CE"/>
    <w:rsid w:val="0099708A"/>
    <w:rsid w:val="009A3F84"/>
    <w:rsid w:val="009A4A89"/>
    <w:rsid w:val="009B0A74"/>
    <w:rsid w:val="009B4140"/>
    <w:rsid w:val="009D064A"/>
    <w:rsid w:val="009D240E"/>
    <w:rsid w:val="009D2788"/>
    <w:rsid w:val="009D3654"/>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33ACC"/>
    <w:rsid w:val="00C54BDF"/>
    <w:rsid w:val="00C54D52"/>
    <w:rsid w:val="00C56129"/>
    <w:rsid w:val="00C56BA5"/>
    <w:rsid w:val="00C56FEC"/>
    <w:rsid w:val="00C56FF9"/>
    <w:rsid w:val="00C607FD"/>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86488"/>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fscmrat@candw.ms" TargetMode="External"/><Relationship Id="rId10" Type="http://schemas.openxmlformats.org/officeDocument/2006/relationships/hyperlink" Target="http://eur-lex.europa.eu/legal-content/EN/TXT/PDF/?uri=CELEX:32015R0813&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8</cp:revision>
  <cp:lastPrinted>2015-04-10T13:48:00Z</cp:lastPrinted>
  <dcterms:created xsi:type="dcterms:W3CDTF">2015-06-03T19:03:00Z</dcterms:created>
  <dcterms:modified xsi:type="dcterms:W3CDTF">2015-06-05T13:32:00Z</dcterms:modified>
</cp:coreProperties>
</file>