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B5347B" w:rsidP="006B488B">
                  <w:pPr>
                    <w:pStyle w:val="Default"/>
                    <w:ind w:left="-108" w:right="-90"/>
                    <w:jc w:val="both"/>
                    <w:rPr>
                      <w:rFonts w:ascii="Arial" w:hAnsi="Arial" w:cs="Arial"/>
                    </w:rPr>
                  </w:pPr>
                  <w:r>
                    <w:rPr>
                      <w:rFonts w:ascii="Arial" w:hAnsi="Arial" w:cs="Arial"/>
                    </w:rPr>
                    <w:t>31</w:t>
                  </w:r>
                  <w:r w:rsidR="002610CD">
                    <w:rPr>
                      <w:rFonts w:ascii="Arial" w:hAnsi="Arial" w:cs="Arial"/>
                    </w:rPr>
                    <w:t xml:space="preserve"> March</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8B175E" w:rsidP="0013147B">
                  <w:pPr>
                    <w:pStyle w:val="Default"/>
                    <w:ind w:right="-90"/>
                    <w:jc w:val="center"/>
                    <w:rPr>
                      <w:rFonts w:ascii="Arial" w:hAnsi="Arial" w:cs="Arial"/>
                      <w:b/>
                      <w:sz w:val="28"/>
                      <w:szCs w:val="28"/>
                    </w:rPr>
                  </w:pPr>
                  <w:r>
                    <w:rPr>
                      <w:rFonts w:ascii="Arial" w:hAnsi="Arial" w:cs="Arial"/>
                      <w:b/>
                      <w:sz w:val="28"/>
                      <w:szCs w:val="28"/>
                    </w:rPr>
                    <w:t>Terrorism and Terrorist Financing</w:t>
                  </w:r>
                </w:p>
                <w:p w:rsidR="0013147B" w:rsidRPr="0013147B" w:rsidRDefault="0013147B" w:rsidP="0013147B">
                  <w:pPr>
                    <w:pStyle w:val="Default"/>
                    <w:ind w:right="-90"/>
                    <w:jc w:val="center"/>
                    <w:rPr>
                      <w:rFonts w:ascii="Arial" w:hAnsi="Arial" w:cs="Arial"/>
                      <w:b/>
                      <w:sz w:val="28"/>
                      <w:szCs w:val="28"/>
                    </w:rPr>
                  </w:pPr>
                </w:p>
              </w:tc>
            </w:tr>
          </w:tbl>
          <w:p w:rsidR="008B175E" w:rsidRPr="008B175E" w:rsidRDefault="008B175E" w:rsidP="008B175E">
            <w:pPr>
              <w:spacing w:after="0" w:line="240" w:lineRule="auto"/>
              <w:ind w:right="-90"/>
              <w:jc w:val="both"/>
              <w:rPr>
                <w:rFonts w:ascii="Arial" w:hAnsi="Arial" w:cs="Arial"/>
                <w:b/>
                <w:sz w:val="24"/>
                <w:szCs w:val="24"/>
              </w:rPr>
            </w:pPr>
            <w:r w:rsidRPr="008B175E">
              <w:rPr>
                <w:rFonts w:ascii="Arial" w:hAnsi="Arial" w:cs="Arial"/>
                <w:b/>
                <w:sz w:val="24"/>
                <w:szCs w:val="24"/>
              </w:rPr>
              <w:t xml:space="preserve">Introduction </w:t>
            </w:r>
          </w:p>
          <w:p w:rsidR="008B175E" w:rsidRP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On 27 March 2015 the Council of the European Union’s review of the list of financial sanctions targets maintained in the Annex to Council Regulation (EC) No. 2580/2001 (“the Regulation”) was published in the Official Journal of the European Union. The outcome of this review is given effect by Council Implementing Regulation (EU) No. 2015/513, and takes effect on 28 March 2015.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spacing w:after="0" w:line="240" w:lineRule="auto"/>
              <w:ind w:right="-90"/>
              <w:jc w:val="both"/>
              <w:rPr>
                <w:rFonts w:ascii="Arial" w:hAnsi="Arial" w:cs="Arial"/>
                <w:b/>
                <w:sz w:val="24"/>
                <w:szCs w:val="24"/>
              </w:rPr>
            </w:pPr>
            <w:r w:rsidRPr="008B175E">
              <w:rPr>
                <w:rFonts w:ascii="Arial" w:hAnsi="Arial" w:cs="Arial"/>
                <w:b/>
                <w:sz w:val="24"/>
                <w:szCs w:val="24"/>
              </w:rPr>
              <w:t xml:space="preserve">The reason for this Notice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The Council of the European Union has decided that AL-TAKFIR AND AL-HIJRA should be removed from the list of financial sanctions targets maintained under Council Regulation (EC) 2580/2001.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This means that the designation of AL-TAKFIR AND AL-HIJRA is therefore revoked. This entity is thus no longer a designated person for the purposes of the Terrorist Asset Freezing etc Act 2010 (“the Act”) and is no longer subject to financial sanctions imposed by the Act or by the Regulation.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spacing w:after="0" w:line="240" w:lineRule="auto"/>
              <w:ind w:right="-90"/>
              <w:jc w:val="both"/>
              <w:rPr>
                <w:rFonts w:ascii="Arial" w:hAnsi="Arial" w:cs="Arial"/>
                <w:b/>
                <w:sz w:val="24"/>
                <w:szCs w:val="24"/>
              </w:rPr>
            </w:pPr>
            <w:r w:rsidRPr="008B175E">
              <w:rPr>
                <w:rFonts w:ascii="Arial" w:hAnsi="Arial" w:cs="Arial"/>
                <w:b/>
                <w:sz w:val="24"/>
                <w:szCs w:val="24"/>
              </w:rPr>
              <w:t xml:space="preserve">Other information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The Treasury’s Consolidated List of persons subject to financial sanctions in effect in the UK, which is maintained on the Gov.uk website, has been updated to remove the person named in the Annex to this Notice.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A copy of the Act is available from legislation.gov.uk at:</w:t>
            </w:r>
          </w:p>
          <w:p w:rsidR="008B175E" w:rsidRPr="008B175E" w:rsidRDefault="008B175E" w:rsidP="008B175E">
            <w:pPr>
              <w:pStyle w:val="ListParagraph"/>
              <w:spacing w:after="0" w:line="240" w:lineRule="auto"/>
              <w:ind w:right="-90"/>
              <w:jc w:val="both"/>
              <w:rPr>
                <w:rFonts w:ascii="Arial" w:hAnsi="Arial" w:cs="Arial"/>
                <w:sz w:val="24"/>
                <w:szCs w:val="24"/>
              </w:rPr>
            </w:pPr>
            <w:hyperlink r:id="rId10" w:history="1">
              <w:r w:rsidRPr="008B175E">
                <w:rPr>
                  <w:rStyle w:val="Hyperlink"/>
                  <w:rFonts w:ascii="Arial" w:hAnsi="Arial" w:cs="Arial"/>
                  <w:sz w:val="24"/>
                  <w:szCs w:val="24"/>
                </w:rPr>
                <w:t>http://www.legislation.gov.uk/ukpga/2010/38/contents</w:t>
              </w:r>
            </w:hyperlink>
            <w:r w:rsidRPr="008B175E">
              <w:rPr>
                <w:rFonts w:ascii="Arial" w:hAnsi="Arial" w:cs="Arial"/>
                <w:sz w:val="24"/>
                <w:szCs w:val="24"/>
              </w:rPr>
              <w:t xml:space="preserve"> </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A copy of Council Implementing Regulation (EU) No. 2015/513 is available at </w:t>
            </w:r>
            <w:hyperlink r:id="rId11" w:history="1">
              <w:r w:rsidRPr="008B175E">
                <w:rPr>
                  <w:rStyle w:val="Hyperlink"/>
                  <w:rFonts w:ascii="Arial" w:hAnsi="Arial" w:cs="Arial"/>
                  <w:sz w:val="24"/>
                  <w:szCs w:val="24"/>
                </w:rPr>
                <w:t>http://eur-lex.europa.eu/legal-content/EN/TXT/HTML/?uri=OJ:JOL_2015_082_R_0001&amp;from=EN</w:t>
              </w:r>
            </w:hyperlink>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5"/>
              </w:numPr>
              <w:spacing w:after="0" w:line="240" w:lineRule="auto"/>
              <w:ind w:right="-90"/>
              <w:jc w:val="both"/>
              <w:rPr>
                <w:rFonts w:ascii="Arial" w:hAnsi="Arial" w:cs="Arial"/>
                <w:sz w:val="24"/>
                <w:szCs w:val="24"/>
              </w:rPr>
            </w:pPr>
            <w:r w:rsidRPr="008B175E">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hyperlink r:id="rId12" w:history="1">
              <w:r w:rsidRPr="008B175E">
                <w:rPr>
                  <w:rStyle w:val="Hyperlink"/>
                  <w:rFonts w:ascii="Arial" w:hAnsi="Arial" w:cs="Arial"/>
                  <w:sz w:val="24"/>
                  <w:szCs w:val="24"/>
                </w:rPr>
                <w:t>https://www.gov.uk/government/publications/current-list-of-designated-personsterrorism-and-terrorist-financing</w:t>
              </w:r>
            </w:hyperlink>
            <w:r w:rsidRPr="008B175E">
              <w:rPr>
                <w:rFonts w:ascii="Arial" w:hAnsi="Arial" w:cs="Arial"/>
                <w:sz w:val="24"/>
                <w:szCs w:val="24"/>
              </w:rPr>
              <w:t xml:space="preserve"> </w:t>
            </w:r>
          </w:p>
          <w:p w:rsidR="00D2219F" w:rsidRPr="004E3BBF" w:rsidRDefault="00D2219F" w:rsidP="00D2219F">
            <w:pPr>
              <w:spacing w:after="0" w:line="240" w:lineRule="auto"/>
              <w:ind w:right="-90"/>
              <w:jc w:val="both"/>
              <w:rPr>
                <w:rFonts w:ascii="Arial" w:hAnsi="Arial" w:cs="Arial"/>
                <w:b/>
                <w:sz w:val="24"/>
                <w:szCs w:val="24"/>
              </w:rPr>
            </w:pPr>
            <w:r w:rsidRPr="004E3BBF">
              <w:rPr>
                <w:rFonts w:ascii="Arial" w:hAnsi="Arial" w:cs="Arial"/>
                <w:b/>
                <w:sz w:val="24"/>
                <w:szCs w:val="24"/>
              </w:rPr>
              <w:lastRenderedPageBreak/>
              <w:t>Enquiries/Contact Details</w:t>
            </w:r>
          </w:p>
          <w:p w:rsidR="00D2219F" w:rsidRPr="004E3BBF" w:rsidRDefault="00D2219F" w:rsidP="00D2219F">
            <w:pPr>
              <w:spacing w:after="0" w:line="240" w:lineRule="auto"/>
              <w:ind w:right="-90"/>
              <w:jc w:val="both"/>
              <w:rPr>
                <w:rFonts w:ascii="Arial" w:hAnsi="Arial" w:cs="Arial"/>
                <w:sz w:val="24"/>
                <w:szCs w:val="24"/>
              </w:rPr>
            </w:pPr>
          </w:p>
          <w:p w:rsidR="00D2219F" w:rsidRPr="004E3BBF" w:rsidRDefault="00D2219F" w:rsidP="008B175E">
            <w:pPr>
              <w:pStyle w:val="ListParagraph"/>
              <w:numPr>
                <w:ilvl w:val="0"/>
                <w:numId w:val="5"/>
              </w:numPr>
              <w:spacing w:after="0" w:line="240" w:lineRule="auto"/>
              <w:ind w:right="-90"/>
              <w:jc w:val="both"/>
              <w:rPr>
                <w:rFonts w:ascii="Arial" w:hAnsi="Arial" w:cs="Arial"/>
                <w:sz w:val="24"/>
                <w:szCs w:val="24"/>
              </w:rPr>
            </w:pPr>
            <w:r w:rsidRPr="004E3BBF">
              <w:rPr>
                <w:rFonts w:ascii="Arial" w:hAnsi="Arial" w:cs="Arial"/>
                <w:sz w:val="24"/>
                <w:szCs w:val="24"/>
              </w:rPr>
              <w:t>Non-media enquiries should be addressed to:</w:t>
            </w:r>
          </w:p>
          <w:p w:rsidR="00D2219F" w:rsidRPr="004E3BBF" w:rsidRDefault="00D2219F" w:rsidP="00D2219F">
            <w:pPr>
              <w:spacing w:after="0" w:line="240" w:lineRule="auto"/>
              <w:ind w:right="-90"/>
              <w:jc w:val="both"/>
              <w:rPr>
                <w:rFonts w:ascii="Arial" w:hAnsi="Arial" w:cs="Arial"/>
                <w:sz w:val="24"/>
                <w:szCs w:val="24"/>
              </w:rPr>
            </w:pP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The Commissioner</w:t>
            </w: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Financial Services Commission</w:t>
            </w: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Phoenix House</w:t>
            </w: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Brades, MSR1110</w:t>
            </w:r>
          </w:p>
          <w:p w:rsidR="00D2219F" w:rsidRPr="00B245AA" w:rsidRDefault="00D2219F" w:rsidP="00D2219F">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D2219F" w:rsidRDefault="00D2219F" w:rsidP="00D2219F">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3" w:history="1">
              <w:r w:rsidRPr="00B245AA">
                <w:rPr>
                  <w:rStyle w:val="Hyperlink"/>
                  <w:rFonts w:ascii="Arial" w:hAnsi="Arial" w:cs="Arial"/>
                  <w:sz w:val="24"/>
                  <w:szCs w:val="24"/>
                </w:rPr>
                <w:t>fscmrat@candw.ms</w:t>
              </w:r>
            </w:hyperlink>
          </w:p>
          <w:p w:rsidR="00D2219F" w:rsidRDefault="00D2219F" w:rsidP="00D2219F">
            <w:pPr>
              <w:pStyle w:val="ListParagraph"/>
              <w:rPr>
                <w:rFonts w:ascii="Arial" w:hAnsi="Arial" w:cs="Arial"/>
                <w:sz w:val="24"/>
                <w:szCs w:val="24"/>
              </w:rPr>
            </w:pPr>
          </w:p>
          <w:p w:rsidR="00D2219F" w:rsidRPr="00D2219F" w:rsidRDefault="00D2219F" w:rsidP="00D2219F">
            <w:pPr>
              <w:spacing w:after="0" w:line="240" w:lineRule="auto"/>
              <w:ind w:right="-90"/>
              <w:jc w:val="both"/>
              <w:rPr>
                <w:rFonts w:ascii="Arial" w:hAnsi="Arial" w:cs="Arial"/>
                <w:b/>
                <w:sz w:val="24"/>
                <w:szCs w:val="24"/>
              </w:rPr>
            </w:pPr>
          </w:p>
          <w:p w:rsidR="00D2219F" w:rsidRDefault="00D2219F" w:rsidP="00D2219F">
            <w:pPr>
              <w:pStyle w:val="ListParagraph"/>
              <w:spacing w:after="0" w:line="240" w:lineRule="auto"/>
              <w:ind w:right="-90"/>
              <w:jc w:val="both"/>
              <w:rPr>
                <w:rFonts w:ascii="Arial" w:hAnsi="Arial" w:cs="Arial"/>
                <w:sz w:val="24"/>
                <w:szCs w:val="24"/>
              </w:rPr>
            </w:pPr>
          </w:p>
          <w:p w:rsidR="00D2219F" w:rsidRPr="00787E3D" w:rsidRDefault="00D2219F" w:rsidP="00D2219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D2219F" w:rsidRDefault="00D2219F" w:rsidP="00D2219F">
            <w:pPr>
              <w:spacing w:after="0" w:line="240" w:lineRule="auto"/>
              <w:ind w:right="-90"/>
              <w:jc w:val="both"/>
            </w:pPr>
            <w:r>
              <w:rPr>
                <w:rFonts w:ascii="Arial" w:hAnsi="Arial" w:cs="Arial"/>
                <w:b/>
                <w:sz w:val="24"/>
                <w:szCs w:val="24"/>
              </w:rPr>
              <w:t>31/03</w:t>
            </w:r>
            <w:r w:rsidRPr="00787E3D">
              <w:rPr>
                <w:rFonts w:ascii="Arial" w:hAnsi="Arial" w:cs="Arial"/>
                <w:b/>
                <w:sz w:val="24"/>
                <w:szCs w:val="24"/>
              </w:rPr>
              <w:t>/2015</w:t>
            </w:r>
          </w:p>
          <w:p w:rsidR="00D2219F" w:rsidRDefault="00D2219F" w:rsidP="00D2219F">
            <w:pPr>
              <w:pStyle w:val="ListParagraph"/>
              <w:spacing w:after="0" w:line="240" w:lineRule="auto"/>
              <w:ind w:right="-90"/>
              <w:jc w:val="both"/>
              <w:rPr>
                <w:rFonts w:ascii="Arial" w:hAnsi="Arial" w:cs="Arial"/>
                <w:sz w:val="24"/>
                <w:szCs w:val="24"/>
              </w:rPr>
            </w:pPr>
          </w:p>
          <w:p w:rsidR="00E769D8" w:rsidRDefault="00E769D8" w:rsidP="00E769D8">
            <w:pPr>
              <w:spacing w:after="0" w:line="240" w:lineRule="auto"/>
              <w:ind w:right="-90"/>
              <w:rPr>
                <w:rFonts w:ascii="Arial" w:hAnsi="Arial" w:cs="Arial"/>
                <w:b/>
                <w:sz w:val="24"/>
                <w:szCs w:val="24"/>
                <w:u w:val="single"/>
              </w:rPr>
            </w:pPr>
          </w:p>
          <w:p w:rsidR="0013147B" w:rsidRDefault="0013147B" w:rsidP="00E769D8">
            <w:pPr>
              <w:spacing w:after="0" w:line="240" w:lineRule="auto"/>
              <w:ind w:right="-90"/>
              <w:rPr>
                <w:rFonts w:ascii="Arial" w:hAnsi="Arial" w:cs="Arial"/>
                <w:b/>
                <w:sz w:val="24"/>
                <w:szCs w:val="24"/>
                <w:u w:val="single"/>
              </w:rPr>
            </w:pPr>
          </w:p>
          <w:p w:rsidR="004E3BBF" w:rsidRPr="00E769D8" w:rsidRDefault="004E3BBF" w:rsidP="00E769D8">
            <w:pPr>
              <w:spacing w:after="0" w:line="240" w:lineRule="auto"/>
              <w:ind w:right="-90"/>
              <w:rPr>
                <w:rFonts w:ascii="Arial" w:hAnsi="Arial" w:cs="Arial"/>
                <w:b/>
                <w:sz w:val="24"/>
                <w:szCs w:val="24"/>
                <w:u w:val="single"/>
              </w:rPr>
            </w:pPr>
          </w:p>
          <w:p w:rsidR="00E769D8" w:rsidRDefault="00E769D8"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8B175E" w:rsidRDefault="008B175E"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8B175E" w:rsidRPr="008B175E" w:rsidRDefault="008B175E" w:rsidP="008B175E">
            <w:pPr>
              <w:pStyle w:val="ListParagraph"/>
              <w:spacing w:after="0" w:line="240" w:lineRule="auto"/>
              <w:ind w:right="-90"/>
              <w:jc w:val="center"/>
              <w:rPr>
                <w:rFonts w:ascii="Arial" w:hAnsi="Arial" w:cs="Arial"/>
                <w:b/>
                <w:sz w:val="24"/>
                <w:szCs w:val="24"/>
              </w:rPr>
            </w:pPr>
            <w:r w:rsidRPr="008B175E">
              <w:rPr>
                <w:rFonts w:ascii="Arial" w:hAnsi="Arial" w:cs="Arial"/>
                <w:b/>
                <w:sz w:val="24"/>
                <w:szCs w:val="24"/>
              </w:rPr>
              <w:lastRenderedPageBreak/>
              <w:t>ANNEX TO GENERAL NOTICE</w:t>
            </w:r>
          </w:p>
          <w:p w:rsidR="008B175E" w:rsidRDefault="008B175E" w:rsidP="008B175E">
            <w:pPr>
              <w:pStyle w:val="ListParagraph"/>
              <w:spacing w:after="0" w:line="240" w:lineRule="auto"/>
              <w:ind w:right="-90"/>
              <w:jc w:val="center"/>
              <w:rPr>
                <w:rFonts w:ascii="Arial" w:hAnsi="Arial" w:cs="Arial"/>
                <w:b/>
                <w:sz w:val="24"/>
                <w:szCs w:val="24"/>
              </w:rPr>
            </w:pPr>
          </w:p>
          <w:p w:rsidR="008B175E" w:rsidRPr="008B175E" w:rsidRDefault="008B175E" w:rsidP="008B175E">
            <w:pPr>
              <w:pStyle w:val="ListParagraph"/>
              <w:spacing w:after="0" w:line="240" w:lineRule="auto"/>
              <w:ind w:right="-90"/>
              <w:jc w:val="center"/>
              <w:rPr>
                <w:rFonts w:ascii="Arial" w:hAnsi="Arial" w:cs="Arial"/>
                <w:b/>
                <w:sz w:val="24"/>
                <w:szCs w:val="24"/>
              </w:rPr>
            </w:pPr>
          </w:p>
          <w:p w:rsidR="008B175E" w:rsidRPr="008B175E" w:rsidRDefault="008B175E" w:rsidP="008B175E">
            <w:pPr>
              <w:pStyle w:val="ListParagraph"/>
              <w:spacing w:after="0" w:line="240" w:lineRule="auto"/>
              <w:ind w:right="-90"/>
              <w:jc w:val="center"/>
              <w:rPr>
                <w:rFonts w:ascii="Arial" w:hAnsi="Arial" w:cs="Arial"/>
                <w:b/>
                <w:sz w:val="24"/>
                <w:szCs w:val="24"/>
              </w:rPr>
            </w:pPr>
            <w:r w:rsidRPr="008B175E">
              <w:rPr>
                <w:rFonts w:ascii="Arial" w:hAnsi="Arial" w:cs="Arial"/>
                <w:b/>
                <w:sz w:val="24"/>
                <w:szCs w:val="24"/>
              </w:rPr>
              <w:t>FINANCIAL SANCTIONS: TERRORISM AND TERRORIST FINANCING</w:t>
            </w:r>
          </w:p>
          <w:p w:rsidR="008B175E" w:rsidRPr="008B175E" w:rsidRDefault="008B175E" w:rsidP="008B175E">
            <w:pPr>
              <w:pStyle w:val="ListParagraph"/>
              <w:spacing w:after="0" w:line="240" w:lineRule="auto"/>
              <w:ind w:right="-90"/>
              <w:jc w:val="center"/>
              <w:rPr>
                <w:rFonts w:ascii="Arial" w:hAnsi="Arial" w:cs="Arial"/>
                <w:b/>
                <w:sz w:val="24"/>
                <w:szCs w:val="24"/>
              </w:rPr>
            </w:pPr>
          </w:p>
          <w:p w:rsidR="008B175E" w:rsidRPr="008B175E" w:rsidRDefault="008B175E" w:rsidP="008B175E">
            <w:pPr>
              <w:pStyle w:val="ListParagraph"/>
              <w:spacing w:after="0" w:line="240" w:lineRule="auto"/>
              <w:ind w:right="-90"/>
              <w:jc w:val="center"/>
              <w:rPr>
                <w:rFonts w:ascii="Arial" w:hAnsi="Arial" w:cs="Arial"/>
                <w:b/>
                <w:sz w:val="24"/>
                <w:szCs w:val="24"/>
              </w:rPr>
            </w:pPr>
            <w:r w:rsidRPr="008B175E">
              <w:rPr>
                <w:rFonts w:ascii="Arial" w:hAnsi="Arial" w:cs="Arial"/>
                <w:b/>
                <w:sz w:val="24"/>
                <w:szCs w:val="24"/>
              </w:rPr>
              <w:t>DESIGNATION MADE UNDER COUNCIL REGULATION 2580/2001</w:t>
            </w:r>
          </w:p>
          <w:p w:rsidR="008B175E" w:rsidRPr="008B175E" w:rsidRDefault="008B175E" w:rsidP="0058072A">
            <w:pPr>
              <w:pStyle w:val="ListParagraph"/>
              <w:spacing w:after="0" w:line="240" w:lineRule="auto"/>
              <w:ind w:right="-90"/>
              <w:jc w:val="both"/>
              <w:rPr>
                <w:rFonts w:ascii="Arial" w:hAnsi="Arial" w:cs="Arial"/>
                <w:sz w:val="24"/>
                <w:szCs w:val="24"/>
              </w:rPr>
            </w:pP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spacing w:after="0" w:line="240" w:lineRule="auto"/>
              <w:ind w:right="-90"/>
              <w:jc w:val="both"/>
              <w:rPr>
                <w:rFonts w:ascii="Arial" w:hAnsi="Arial" w:cs="Arial"/>
                <w:b/>
                <w:sz w:val="24"/>
                <w:szCs w:val="24"/>
                <w:u w:val="single"/>
              </w:rPr>
            </w:pPr>
            <w:r w:rsidRPr="008B175E">
              <w:rPr>
                <w:rFonts w:ascii="Arial" w:hAnsi="Arial" w:cs="Arial"/>
                <w:b/>
                <w:sz w:val="24"/>
                <w:szCs w:val="24"/>
                <w:u w:val="single"/>
              </w:rPr>
              <w:t xml:space="preserve">REVOCATION OF FINAL DESIGNATION </w:t>
            </w:r>
          </w:p>
          <w:p w:rsidR="008B175E" w:rsidRDefault="008B175E" w:rsidP="008B175E">
            <w:pPr>
              <w:spacing w:after="0" w:line="240" w:lineRule="auto"/>
              <w:ind w:right="-90"/>
              <w:jc w:val="both"/>
              <w:rPr>
                <w:rFonts w:ascii="Arial" w:hAnsi="Arial" w:cs="Arial"/>
                <w:sz w:val="24"/>
                <w:szCs w:val="24"/>
              </w:rPr>
            </w:pPr>
          </w:p>
          <w:p w:rsidR="008B175E" w:rsidRDefault="008B175E" w:rsidP="008B175E">
            <w:pPr>
              <w:spacing w:after="0" w:line="240" w:lineRule="auto"/>
              <w:ind w:right="-90"/>
              <w:jc w:val="both"/>
              <w:rPr>
                <w:rFonts w:ascii="Arial" w:hAnsi="Arial" w:cs="Arial"/>
                <w:sz w:val="24"/>
                <w:szCs w:val="24"/>
              </w:rPr>
            </w:pPr>
          </w:p>
          <w:p w:rsidR="008B175E" w:rsidRDefault="008B175E" w:rsidP="008B175E">
            <w:pPr>
              <w:spacing w:after="0" w:line="240" w:lineRule="auto"/>
              <w:ind w:right="-90"/>
              <w:jc w:val="right"/>
              <w:rPr>
                <w:rFonts w:ascii="Arial" w:hAnsi="Arial" w:cs="Arial"/>
                <w:sz w:val="24"/>
                <w:szCs w:val="24"/>
              </w:rPr>
            </w:pPr>
            <w:r w:rsidRPr="008B175E">
              <w:rPr>
                <w:rFonts w:ascii="Arial" w:hAnsi="Arial" w:cs="Arial"/>
                <w:sz w:val="24"/>
                <w:szCs w:val="24"/>
              </w:rPr>
              <w:t xml:space="preserve">Date of Revocation of Final Designation </w:t>
            </w:r>
          </w:p>
          <w:p w:rsidR="008B175E" w:rsidRDefault="008B175E" w:rsidP="008B175E">
            <w:pPr>
              <w:spacing w:after="0" w:line="240" w:lineRule="auto"/>
              <w:ind w:right="-90"/>
              <w:jc w:val="right"/>
              <w:rPr>
                <w:rFonts w:ascii="Arial" w:hAnsi="Arial" w:cs="Arial"/>
                <w:sz w:val="24"/>
                <w:szCs w:val="24"/>
              </w:rPr>
            </w:pPr>
            <w:r w:rsidRPr="008B175E">
              <w:rPr>
                <w:rFonts w:ascii="Arial" w:hAnsi="Arial" w:cs="Arial"/>
                <w:sz w:val="24"/>
                <w:szCs w:val="24"/>
              </w:rPr>
              <w:t xml:space="preserve">28/03/2015 </w:t>
            </w:r>
          </w:p>
          <w:p w:rsidR="008B175E" w:rsidRDefault="008B175E" w:rsidP="008B175E">
            <w:pPr>
              <w:spacing w:after="0" w:line="240" w:lineRule="auto"/>
              <w:ind w:right="-90"/>
              <w:jc w:val="both"/>
              <w:rPr>
                <w:rFonts w:ascii="Arial" w:hAnsi="Arial" w:cs="Arial"/>
                <w:sz w:val="24"/>
                <w:szCs w:val="24"/>
              </w:rPr>
            </w:pP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spacing w:after="0" w:line="240" w:lineRule="auto"/>
              <w:ind w:right="-90"/>
              <w:jc w:val="both"/>
              <w:rPr>
                <w:rFonts w:ascii="Arial" w:hAnsi="Arial" w:cs="Arial"/>
                <w:b/>
                <w:sz w:val="24"/>
                <w:szCs w:val="24"/>
              </w:rPr>
            </w:pPr>
            <w:r w:rsidRPr="008B175E">
              <w:rPr>
                <w:rFonts w:ascii="Arial" w:hAnsi="Arial" w:cs="Arial"/>
                <w:b/>
                <w:sz w:val="24"/>
                <w:szCs w:val="24"/>
              </w:rPr>
              <w:t>Entity</w:t>
            </w:r>
          </w:p>
          <w:p w:rsidR="008B175E" w:rsidRDefault="008B175E" w:rsidP="008B175E">
            <w:pPr>
              <w:spacing w:after="0" w:line="240" w:lineRule="auto"/>
              <w:ind w:right="-90"/>
              <w:jc w:val="both"/>
              <w:rPr>
                <w:rFonts w:ascii="Arial" w:hAnsi="Arial" w:cs="Arial"/>
                <w:sz w:val="24"/>
                <w:szCs w:val="24"/>
              </w:rPr>
            </w:pPr>
          </w:p>
          <w:p w:rsidR="008B175E" w:rsidRPr="008B175E" w:rsidRDefault="008B175E" w:rsidP="008B175E">
            <w:pPr>
              <w:pStyle w:val="ListParagraph"/>
              <w:numPr>
                <w:ilvl w:val="0"/>
                <w:numId w:val="8"/>
              </w:numPr>
              <w:spacing w:after="0" w:line="240" w:lineRule="auto"/>
              <w:ind w:right="-90"/>
              <w:jc w:val="both"/>
              <w:rPr>
                <w:rFonts w:ascii="Arial" w:hAnsi="Arial" w:cs="Arial"/>
                <w:b/>
                <w:sz w:val="24"/>
                <w:szCs w:val="24"/>
              </w:rPr>
            </w:pPr>
            <w:r w:rsidRPr="008B175E">
              <w:rPr>
                <w:rFonts w:ascii="Arial" w:hAnsi="Arial" w:cs="Arial"/>
                <w:b/>
                <w:sz w:val="24"/>
                <w:szCs w:val="24"/>
              </w:rPr>
              <w:t xml:space="preserve">AL-TAKFIR AND AL-HIJRA </w:t>
            </w:r>
          </w:p>
          <w:p w:rsidR="0013147B" w:rsidRPr="008B175E" w:rsidRDefault="008B175E" w:rsidP="008B175E">
            <w:pPr>
              <w:pStyle w:val="ListParagraph"/>
              <w:spacing w:after="0" w:line="240" w:lineRule="auto"/>
              <w:ind w:right="-90"/>
              <w:jc w:val="both"/>
              <w:rPr>
                <w:rFonts w:ascii="Arial" w:hAnsi="Arial" w:cs="Arial"/>
                <w:b/>
                <w:sz w:val="24"/>
                <w:szCs w:val="24"/>
              </w:rPr>
            </w:pPr>
            <w:r w:rsidRPr="008B175E">
              <w:rPr>
                <w:rFonts w:ascii="Arial" w:hAnsi="Arial" w:cs="Arial"/>
                <w:sz w:val="24"/>
                <w:szCs w:val="24"/>
              </w:rPr>
              <w:t>Other Information: EU listing only.</w:t>
            </w:r>
          </w:p>
          <w:p w:rsidR="0013147B" w:rsidRPr="008B175E" w:rsidRDefault="0013147B" w:rsidP="0058072A">
            <w:pPr>
              <w:pStyle w:val="ListParagraph"/>
              <w:spacing w:after="0" w:line="240" w:lineRule="auto"/>
              <w:ind w:right="-90"/>
              <w:jc w:val="both"/>
              <w:rPr>
                <w:rFonts w:ascii="Arial" w:hAnsi="Arial" w:cs="Arial"/>
                <w:sz w:val="24"/>
                <w:szCs w:val="24"/>
              </w:rPr>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13147B">
            <w:pPr>
              <w:pStyle w:val="ListParagraph"/>
              <w:spacing w:after="0" w:line="240" w:lineRule="auto"/>
              <w:ind w:right="-90"/>
              <w:jc w:val="both"/>
              <w:rPr>
                <w:rFonts w:ascii="Arial" w:hAnsi="Arial" w:cs="Arial"/>
                <w:sz w:val="24"/>
                <w:szCs w:val="24"/>
              </w:rPr>
            </w:pPr>
          </w:p>
          <w:p w:rsidR="0013147B" w:rsidRPr="0013147B" w:rsidRDefault="0013147B" w:rsidP="0013147B">
            <w:pPr>
              <w:pStyle w:val="ListParagraph"/>
              <w:spacing w:after="0" w:line="240" w:lineRule="auto"/>
              <w:ind w:right="-90"/>
              <w:jc w:val="both"/>
              <w:rPr>
                <w:rFonts w:ascii="Arial" w:hAnsi="Arial" w:cs="Arial"/>
                <w:sz w:val="24"/>
                <w:szCs w:val="24"/>
              </w:rPr>
            </w:pPr>
          </w:p>
          <w:p w:rsidR="0013147B" w:rsidRDefault="0013147B" w:rsidP="0058072A">
            <w:pPr>
              <w:pStyle w:val="ListParagraph"/>
              <w:spacing w:after="0" w:line="240" w:lineRule="auto"/>
              <w:ind w:right="-90"/>
              <w:jc w:val="both"/>
            </w:pPr>
          </w:p>
          <w:p w:rsidR="004E3BBF" w:rsidRDefault="004E3BBF" w:rsidP="0058072A">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5C6C3F" w:rsidRDefault="004E3BBF" w:rsidP="006A6707">
            <w:pPr>
              <w:spacing w:after="0" w:line="240" w:lineRule="auto"/>
              <w:ind w:right="-90"/>
              <w:jc w:val="both"/>
            </w:pPr>
            <w:r>
              <w:rPr>
                <w:rFonts w:ascii="Arial" w:hAnsi="Arial" w:cs="Arial"/>
                <w:b/>
                <w:sz w:val="24"/>
                <w:szCs w:val="24"/>
              </w:rPr>
              <w:t>31</w:t>
            </w:r>
            <w:r w:rsidR="00F40223">
              <w:rPr>
                <w:rFonts w:ascii="Arial" w:hAnsi="Arial" w:cs="Arial"/>
                <w:b/>
                <w:sz w:val="24"/>
                <w:szCs w:val="24"/>
              </w:rPr>
              <w:t>/03</w:t>
            </w:r>
            <w:r w:rsidR="00F40223" w:rsidRPr="00787E3D">
              <w:rPr>
                <w:rFonts w:ascii="Arial" w:hAnsi="Arial" w:cs="Arial"/>
                <w:b/>
                <w:sz w:val="24"/>
                <w:szCs w:val="24"/>
              </w:rPr>
              <w:t>/2015</w:t>
            </w: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854C09" w:rsidRPr="009A4A89" w:rsidRDefault="00854C09"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BF" w:rsidRDefault="004E3BBF" w:rsidP="00A214FB">
      <w:pPr>
        <w:spacing w:after="0" w:line="240" w:lineRule="auto"/>
      </w:pPr>
      <w:r>
        <w:separator/>
      </w:r>
    </w:p>
  </w:endnote>
  <w:endnote w:type="continuationSeparator" w:id="1">
    <w:p w:rsidR="004E3BBF" w:rsidRDefault="004E3BB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BF" w:rsidRDefault="004E3BBF" w:rsidP="00A214FB">
      <w:pPr>
        <w:spacing w:after="0" w:line="240" w:lineRule="auto"/>
      </w:pPr>
      <w:r>
        <w:separator/>
      </w:r>
    </w:p>
  </w:footnote>
  <w:footnote w:type="continuationSeparator" w:id="1">
    <w:p w:rsidR="004E3BBF" w:rsidRDefault="004E3BB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6"/>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37FD9"/>
    <w:rsid w:val="00040DB5"/>
    <w:rsid w:val="000466A6"/>
    <w:rsid w:val="00047C02"/>
    <w:rsid w:val="00050014"/>
    <w:rsid w:val="00052D60"/>
    <w:rsid w:val="00056988"/>
    <w:rsid w:val="00057D74"/>
    <w:rsid w:val="00067C0A"/>
    <w:rsid w:val="000701D8"/>
    <w:rsid w:val="00071616"/>
    <w:rsid w:val="00076AC4"/>
    <w:rsid w:val="000958E3"/>
    <w:rsid w:val="00095AE3"/>
    <w:rsid w:val="000A6D6C"/>
    <w:rsid w:val="000B3F4B"/>
    <w:rsid w:val="000B4879"/>
    <w:rsid w:val="000B5115"/>
    <w:rsid w:val="000B6EB4"/>
    <w:rsid w:val="000C3E68"/>
    <w:rsid w:val="000F6055"/>
    <w:rsid w:val="000F731F"/>
    <w:rsid w:val="000F7E28"/>
    <w:rsid w:val="001010FB"/>
    <w:rsid w:val="00102FED"/>
    <w:rsid w:val="00115045"/>
    <w:rsid w:val="00117F43"/>
    <w:rsid w:val="0012275B"/>
    <w:rsid w:val="0013147B"/>
    <w:rsid w:val="00131AF0"/>
    <w:rsid w:val="00135ABA"/>
    <w:rsid w:val="0013754B"/>
    <w:rsid w:val="001538C0"/>
    <w:rsid w:val="001732A3"/>
    <w:rsid w:val="001939A6"/>
    <w:rsid w:val="00193CCC"/>
    <w:rsid w:val="001975A7"/>
    <w:rsid w:val="001A7208"/>
    <w:rsid w:val="001C0253"/>
    <w:rsid w:val="001C13E8"/>
    <w:rsid w:val="001D55F9"/>
    <w:rsid w:val="001D72F3"/>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7C2A"/>
    <w:rsid w:val="00323264"/>
    <w:rsid w:val="00340524"/>
    <w:rsid w:val="00344288"/>
    <w:rsid w:val="003448E2"/>
    <w:rsid w:val="00353E17"/>
    <w:rsid w:val="003556BD"/>
    <w:rsid w:val="00371B82"/>
    <w:rsid w:val="00374424"/>
    <w:rsid w:val="00376FE1"/>
    <w:rsid w:val="00381D34"/>
    <w:rsid w:val="00383BFA"/>
    <w:rsid w:val="003944DD"/>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57489"/>
    <w:rsid w:val="0046057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14B26"/>
    <w:rsid w:val="00516473"/>
    <w:rsid w:val="0051705E"/>
    <w:rsid w:val="00525D7C"/>
    <w:rsid w:val="00530DB9"/>
    <w:rsid w:val="00536D70"/>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47835"/>
    <w:rsid w:val="00655054"/>
    <w:rsid w:val="00660FA5"/>
    <w:rsid w:val="00667665"/>
    <w:rsid w:val="006717FF"/>
    <w:rsid w:val="00671B8A"/>
    <w:rsid w:val="0069209E"/>
    <w:rsid w:val="00697397"/>
    <w:rsid w:val="006A47ED"/>
    <w:rsid w:val="006A6707"/>
    <w:rsid w:val="006A6DF1"/>
    <w:rsid w:val="006B14D8"/>
    <w:rsid w:val="006B202F"/>
    <w:rsid w:val="006B488B"/>
    <w:rsid w:val="006C2C03"/>
    <w:rsid w:val="006C74AF"/>
    <w:rsid w:val="006D45E8"/>
    <w:rsid w:val="006E2800"/>
    <w:rsid w:val="006E552C"/>
    <w:rsid w:val="00701AB9"/>
    <w:rsid w:val="007055C9"/>
    <w:rsid w:val="00712BEF"/>
    <w:rsid w:val="007135BB"/>
    <w:rsid w:val="00723706"/>
    <w:rsid w:val="00730B57"/>
    <w:rsid w:val="007311D0"/>
    <w:rsid w:val="00731A0E"/>
    <w:rsid w:val="00734CD9"/>
    <w:rsid w:val="007371B9"/>
    <w:rsid w:val="00752C6A"/>
    <w:rsid w:val="00764FB0"/>
    <w:rsid w:val="00766CB2"/>
    <w:rsid w:val="00787E3D"/>
    <w:rsid w:val="00794955"/>
    <w:rsid w:val="00794DEC"/>
    <w:rsid w:val="00796EA8"/>
    <w:rsid w:val="007A0964"/>
    <w:rsid w:val="007A23CF"/>
    <w:rsid w:val="007B1B41"/>
    <w:rsid w:val="007C3F0D"/>
    <w:rsid w:val="007C5F64"/>
    <w:rsid w:val="007D0208"/>
    <w:rsid w:val="007D37FB"/>
    <w:rsid w:val="007D5234"/>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4051"/>
    <w:rsid w:val="008F4210"/>
    <w:rsid w:val="008F5CC8"/>
    <w:rsid w:val="00900D71"/>
    <w:rsid w:val="00907566"/>
    <w:rsid w:val="00912024"/>
    <w:rsid w:val="009178E6"/>
    <w:rsid w:val="009251F4"/>
    <w:rsid w:val="00926CF5"/>
    <w:rsid w:val="00941EEA"/>
    <w:rsid w:val="0094358A"/>
    <w:rsid w:val="00957F65"/>
    <w:rsid w:val="009675F1"/>
    <w:rsid w:val="00970DC3"/>
    <w:rsid w:val="0099708A"/>
    <w:rsid w:val="009A3F84"/>
    <w:rsid w:val="009A4A89"/>
    <w:rsid w:val="009B0A74"/>
    <w:rsid w:val="009B4140"/>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85D89"/>
    <w:rsid w:val="00A90BE3"/>
    <w:rsid w:val="00A95BE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766F4"/>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urrent-list-of-designated-personsterrorism-and-terrorist-fina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HTML/?uri=OJ:JOL_2015_082_R_0001&amp;fr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38/content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2015-04-10T13:31:00Z</cp:lastPrinted>
  <dcterms:created xsi:type="dcterms:W3CDTF">2015-04-10T13:31:00Z</dcterms:created>
  <dcterms:modified xsi:type="dcterms:W3CDTF">2015-04-10T13:36:00Z</dcterms:modified>
</cp:coreProperties>
</file>