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B5347B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  <w:r w:rsidR="002610CD">
                    <w:rPr>
                      <w:rFonts w:ascii="Arial" w:hAnsi="Arial" w:cs="Arial"/>
                    </w:rPr>
                    <w:t xml:space="preserve"> March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3147B" w:rsidRDefault="0013147B" w:rsidP="0013147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3147B">
                    <w:rPr>
                      <w:rFonts w:ascii="Arial" w:hAnsi="Arial" w:cs="Arial"/>
                      <w:b/>
                      <w:sz w:val="28"/>
                      <w:szCs w:val="28"/>
                    </w:rPr>
                    <w:t>Belarus</w:t>
                  </w:r>
                </w:p>
                <w:p w:rsidR="0013147B" w:rsidRPr="0013147B" w:rsidRDefault="0013147B" w:rsidP="0013147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3147B" w:rsidRP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:rsidR="0013147B" w:rsidRP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The Notice issued by the Treasury on 3 March 2015 regarding BELTECHEXPORT has been withdrawn. </w:t>
            </w:r>
          </w:p>
          <w:p w:rsid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BELTECHEXPORT has been re-added to the consolidated list and remains subject to restrictive measures. Full details can be found in the Annex to this Notice. </w:t>
            </w:r>
          </w:p>
          <w:p w:rsid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13147B" w:rsidRDefault="0013147B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The following entry has been re-added to the consolidated list and is still subject to an asset freeze. 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>BELTECHEXPORT (Group ID: 12000)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Pr="0013147B">
              <w:rPr>
                <w:rFonts w:ascii="Arial" w:hAnsi="Arial" w:cs="Arial"/>
                <w:b/>
                <w:sz w:val="24"/>
                <w:szCs w:val="24"/>
                <w:u w:val="single"/>
              </w:rPr>
              <w:t>you</w:t>
            </w:r>
            <w:r w:rsidRPr="0013147B">
              <w:rPr>
                <w:rFonts w:ascii="Arial" w:hAnsi="Arial" w:cs="Arial"/>
                <w:b/>
                <w:sz w:val="24"/>
                <w:szCs w:val="24"/>
              </w:rPr>
              <w:t xml:space="preserve"> must do 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You must: 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check whether you maintain any accounts or hold any funds or economic resources for the persons set out in the Annex to this Notice; </w:t>
            </w:r>
          </w:p>
          <w:p w:rsidR="0013147B" w:rsidRPr="0013147B" w:rsidRDefault="0013147B" w:rsidP="0013147B">
            <w:pPr>
              <w:pStyle w:val="ListParagraph"/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13147B" w:rsidRPr="0013147B" w:rsidRDefault="0013147B" w:rsidP="0013147B">
            <w:pPr>
              <w:pStyle w:val="ListParagraph"/>
              <w:ind w:left="1440" w:hanging="450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refrain from dealing with the funds or assets or making them available to such persons unless licensed by the Treasury; </w:t>
            </w:r>
          </w:p>
          <w:p w:rsidR="0013147B" w:rsidRPr="0013147B" w:rsidRDefault="0013147B" w:rsidP="0013147B">
            <w:pPr>
              <w:pStyle w:val="ListParagraph"/>
              <w:ind w:left="1440" w:hanging="450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 would facilitate compliance with the Regulation;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47B" w:rsidRPr="0013147B" w:rsidRDefault="0013147B" w:rsidP="0013147B">
            <w:pPr>
              <w:pStyle w:val="ListParagraph"/>
              <w:ind w:left="1440" w:hanging="450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1314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 w:right="-9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47B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13147B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authorities or law enforcement; 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Where a relevant institution has already reported details of accounts, other funds or economic resources held frozen for designated persons, they are not required to report these details again. 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lastRenderedPageBreak/>
              <w:t>Copies of relevant Releases, certain EU Regulations and UK legislation can be obtained from the Belarus Financial Sanctions page on the GOV.UK website: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A53D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A53D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3BB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4E3BBF" w:rsidRDefault="00D2219F" w:rsidP="001314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B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D2219F" w:rsidRPr="004E3BB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D2219F" w:rsidRPr="005C6C3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Brades, MSR1110</w:t>
            </w:r>
          </w:p>
          <w:p w:rsidR="00D2219F" w:rsidRPr="00B245AA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D2219F" w:rsidRDefault="00D2219F" w:rsidP="00D2219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2" w:history="1">
              <w:r w:rsidRPr="00B245AA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D2219F" w:rsidRDefault="00D2219F" w:rsidP="00D2219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D2219F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19F" w:rsidRPr="00787E3D" w:rsidRDefault="00D2219F" w:rsidP="00D2219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D2219F" w:rsidRDefault="00D2219F" w:rsidP="00D2219F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31/03</w:t>
            </w:r>
            <w:r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D2219F" w:rsidRDefault="00D2219F" w:rsidP="00D2219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69D8" w:rsidRDefault="00E769D8" w:rsidP="00E769D8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147B" w:rsidRDefault="0013147B" w:rsidP="00E769D8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E3BBF" w:rsidRPr="00E769D8" w:rsidRDefault="004E3BBF" w:rsidP="00E769D8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769D8" w:rsidRDefault="00E769D8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ANNEX TO NOTICE</w:t>
            </w:r>
          </w:p>
          <w:p w:rsidR="0013147B" w:rsidRDefault="0013147B" w:rsidP="0013147B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</w:rPr>
              <w:t>FINANCIAL SANCTIONS: Belarus</w:t>
            </w: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ADDITION </w:t>
            </w: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147B" w:rsidRP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Entity </w:t>
            </w:r>
          </w:p>
          <w:p w:rsidR="0013147B" w:rsidRDefault="0013147B" w:rsidP="0013147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47B">
              <w:rPr>
                <w:rFonts w:ascii="Arial" w:hAnsi="Arial" w:cs="Arial"/>
                <w:b/>
                <w:sz w:val="24"/>
                <w:szCs w:val="24"/>
              </w:rPr>
              <w:t xml:space="preserve">BELTECHEXPORT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13147B">
              <w:rPr>
                <w:rFonts w:ascii="Arial" w:hAnsi="Arial" w:cs="Arial"/>
                <w:sz w:val="24"/>
                <w:szCs w:val="24"/>
              </w:rPr>
              <w:t>Nezavisimost</w:t>
            </w:r>
            <w:proofErr w:type="spellEnd"/>
            <w:r w:rsidRPr="00131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47B">
              <w:rPr>
                <w:rFonts w:ascii="Arial" w:hAnsi="Arial" w:cs="Arial"/>
                <w:sz w:val="24"/>
                <w:szCs w:val="24"/>
              </w:rPr>
              <w:t>ave</w:t>
            </w:r>
            <w:proofErr w:type="spellEnd"/>
            <w:r w:rsidRPr="0013147B">
              <w:rPr>
                <w:rFonts w:ascii="Arial" w:hAnsi="Arial" w:cs="Arial"/>
                <w:sz w:val="24"/>
                <w:szCs w:val="24"/>
              </w:rPr>
              <w:t xml:space="preserve">., 86-B, Minsk, Republic of Belarus, 220012.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Other Information: </w:t>
            </w:r>
            <w:proofErr w:type="spellStart"/>
            <w:r w:rsidRPr="0013147B">
              <w:rPr>
                <w:rFonts w:ascii="Arial" w:hAnsi="Arial" w:cs="Arial"/>
                <w:sz w:val="24"/>
                <w:szCs w:val="24"/>
              </w:rPr>
              <w:t>Beltechexport</w:t>
            </w:r>
            <w:proofErr w:type="spellEnd"/>
            <w:r w:rsidRPr="0013147B">
              <w:rPr>
                <w:rFonts w:ascii="Arial" w:hAnsi="Arial" w:cs="Arial"/>
                <w:sz w:val="24"/>
                <w:szCs w:val="24"/>
              </w:rPr>
              <w:t xml:space="preserve"> is a main exporter of arms and military equipment in Belarus, which requires authorisation from the Belarusian authorities. Tel (+375 17) 263-63-83. Fax (+375 17) 263-90-12.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Listed on: 30/10/2013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Last Updated: 30/03/2015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47B">
              <w:rPr>
                <w:rFonts w:ascii="Arial" w:hAnsi="Arial" w:cs="Arial"/>
                <w:sz w:val="24"/>
                <w:szCs w:val="24"/>
              </w:rPr>
              <w:t xml:space="preserve">Group ID: 12000. </w:t>
            </w:r>
          </w:p>
          <w:p w:rsid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Pr="0013147B" w:rsidRDefault="0013147B" w:rsidP="0013147B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147B" w:rsidRDefault="0013147B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4E3BBF" w:rsidRDefault="004E3BB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F40223" w:rsidRPr="00787E3D" w:rsidRDefault="00F40223" w:rsidP="00F4022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5C6C3F" w:rsidRDefault="004E3BBF" w:rsidP="006A6707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F40223">
              <w:rPr>
                <w:rFonts w:ascii="Arial" w:hAnsi="Arial" w:cs="Arial"/>
                <w:b/>
                <w:sz w:val="24"/>
                <w:szCs w:val="24"/>
              </w:rPr>
              <w:t>/03</w:t>
            </w:r>
            <w:r w:rsidR="00F40223"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854C09" w:rsidRPr="009A4A89" w:rsidRDefault="00854C09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sectPr w:rsidR="008040B1" w:rsidRPr="009A4A89" w:rsidSect="00F84536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BF" w:rsidRDefault="004E3BBF" w:rsidP="00A214FB">
      <w:pPr>
        <w:spacing w:after="0" w:line="240" w:lineRule="auto"/>
      </w:pPr>
      <w:r>
        <w:separator/>
      </w:r>
    </w:p>
  </w:endnote>
  <w:endnote w:type="continuationSeparator" w:id="1">
    <w:p w:rsidR="004E3BBF" w:rsidRDefault="004E3BB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BF" w:rsidRDefault="004E3BBF" w:rsidP="00A214FB">
      <w:pPr>
        <w:spacing w:after="0" w:line="240" w:lineRule="auto"/>
      </w:pPr>
      <w:r>
        <w:separator/>
      </w:r>
    </w:p>
  </w:footnote>
  <w:footnote w:type="continuationSeparator" w:id="1">
    <w:p w:rsidR="004E3BBF" w:rsidRDefault="004E3BB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CC3"/>
    <w:multiLevelType w:val="hybridMultilevel"/>
    <w:tmpl w:val="8F0EB4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131"/>
    <w:multiLevelType w:val="hybridMultilevel"/>
    <w:tmpl w:val="1332BE1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837F9"/>
    <w:multiLevelType w:val="hybridMultilevel"/>
    <w:tmpl w:val="AA528F98"/>
    <w:lvl w:ilvl="0" w:tplc="2062B8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21A9"/>
    <w:multiLevelType w:val="hybridMultilevel"/>
    <w:tmpl w:val="5B5C5C76"/>
    <w:lvl w:ilvl="0" w:tplc="945E6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11693"/>
    <w:rsid w:val="0001596D"/>
    <w:rsid w:val="000216F9"/>
    <w:rsid w:val="000230CA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C0A"/>
    <w:rsid w:val="000701D8"/>
    <w:rsid w:val="00071616"/>
    <w:rsid w:val="00076AC4"/>
    <w:rsid w:val="000958E3"/>
    <w:rsid w:val="00095AE3"/>
    <w:rsid w:val="000A6D6C"/>
    <w:rsid w:val="000B3F4B"/>
    <w:rsid w:val="000B4879"/>
    <w:rsid w:val="000B5115"/>
    <w:rsid w:val="000B6EB4"/>
    <w:rsid w:val="000C3E68"/>
    <w:rsid w:val="000F6055"/>
    <w:rsid w:val="000F731F"/>
    <w:rsid w:val="000F7E28"/>
    <w:rsid w:val="001010FB"/>
    <w:rsid w:val="00102FED"/>
    <w:rsid w:val="00115045"/>
    <w:rsid w:val="00117F43"/>
    <w:rsid w:val="0012275B"/>
    <w:rsid w:val="0013147B"/>
    <w:rsid w:val="00131AF0"/>
    <w:rsid w:val="00135ABA"/>
    <w:rsid w:val="0013754B"/>
    <w:rsid w:val="001538C0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DA4"/>
    <w:rsid w:val="001E2232"/>
    <w:rsid w:val="001E4907"/>
    <w:rsid w:val="00200BC9"/>
    <w:rsid w:val="00203218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7C2A"/>
    <w:rsid w:val="00323264"/>
    <w:rsid w:val="00340524"/>
    <w:rsid w:val="00344288"/>
    <w:rsid w:val="003448E2"/>
    <w:rsid w:val="00353E17"/>
    <w:rsid w:val="003556BD"/>
    <w:rsid w:val="00371B82"/>
    <w:rsid w:val="00374424"/>
    <w:rsid w:val="00376FE1"/>
    <w:rsid w:val="00381D34"/>
    <w:rsid w:val="00383BFA"/>
    <w:rsid w:val="003944DD"/>
    <w:rsid w:val="003A6C90"/>
    <w:rsid w:val="003B5286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77D2"/>
    <w:rsid w:val="00417A71"/>
    <w:rsid w:val="00424A69"/>
    <w:rsid w:val="00440743"/>
    <w:rsid w:val="004415A3"/>
    <w:rsid w:val="0044173C"/>
    <w:rsid w:val="00442436"/>
    <w:rsid w:val="004440B0"/>
    <w:rsid w:val="00445816"/>
    <w:rsid w:val="00446DDC"/>
    <w:rsid w:val="00451F88"/>
    <w:rsid w:val="00457489"/>
    <w:rsid w:val="0046057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14B26"/>
    <w:rsid w:val="00516473"/>
    <w:rsid w:val="0051705E"/>
    <w:rsid w:val="00525D7C"/>
    <w:rsid w:val="00530DB9"/>
    <w:rsid w:val="00536D70"/>
    <w:rsid w:val="00550C9D"/>
    <w:rsid w:val="00551EFB"/>
    <w:rsid w:val="00554081"/>
    <w:rsid w:val="00554F1D"/>
    <w:rsid w:val="005551D9"/>
    <w:rsid w:val="005675B7"/>
    <w:rsid w:val="005705A9"/>
    <w:rsid w:val="0058072A"/>
    <w:rsid w:val="00581B89"/>
    <w:rsid w:val="00583B2F"/>
    <w:rsid w:val="00590254"/>
    <w:rsid w:val="005935D2"/>
    <w:rsid w:val="005B3428"/>
    <w:rsid w:val="005B40D1"/>
    <w:rsid w:val="005B5C99"/>
    <w:rsid w:val="005B7CFD"/>
    <w:rsid w:val="005C6C3F"/>
    <w:rsid w:val="005D32C0"/>
    <w:rsid w:val="005E264C"/>
    <w:rsid w:val="005E3464"/>
    <w:rsid w:val="005F2D90"/>
    <w:rsid w:val="005F3395"/>
    <w:rsid w:val="0060448B"/>
    <w:rsid w:val="00610EEC"/>
    <w:rsid w:val="006164AC"/>
    <w:rsid w:val="00616B0E"/>
    <w:rsid w:val="0062126F"/>
    <w:rsid w:val="00621E9B"/>
    <w:rsid w:val="00622A8A"/>
    <w:rsid w:val="00627ADE"/>
    <w:rsid w:val="00637112"/>
    <w:rsid w:val="00655054"/>
    <w:rsid w:val="00660FA5"/>
    <w:rsid w:val="00667665"/>
    <w:rsid w:val="006717FF"/>
    <w:rsid w:val="00671B8A"/>
    <w:rsid w:val="0069209E"/>
    <w:rsid w:val="00697397"/>
    <w:rsid w:val="006A47ED"/>
    <w:rsid w:val="006A6707"/>
    <w:rsid w:val="006A6DF1"/>
    <w:rsid w:val="006B14D8"/>
    <w:rsid w:val="006B202F"/>
    <w:rsid w:val="006B488B"/>
    <w:rsid w:val="006C2C03"/>
    <w:rsid w:val="006C74AF"/>
    <w:rsid w:val="006D45E8"/>
    <w:rsid w:val="006E2800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64FB0"/>
    <w:rsid w:val="00766CB2"/>
    <w:rsid w:val="00787E3D"/>
    <w:rsid w:val="00794955"/>
    <w:rsid w:val="00794DEC"/>
    <w:rsid w:val="00796EA8"/>
    <w:rsid w:val="007A0964"/>
    <w:rsid w:val="007A23CF"/>
    <w:rsid w:val="007B1B41"/>
    <w:rsid w:val="007C3F0D"/>
    <w:rsid w:val="007C5F64"/>
    <w:rsid w:val="007D0208"/>
    <w:rsid w:val="007D37FB"/>
    <w:rsid w:val="007D5234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10736"/>
    <w:rsid w:val="0081666D"/>
    <w:rsid w:val="0081678B"/>
    <w:rsid w:val="0082712A"/>
    <w:rsid w:val="008276A0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15BD"/>
    <w:rsid w:val="008923E8"/>
    <w:rsid w:val="008D786D"/>
    <w:rsid w:val="008E4FAA"/>
    <w:rsid w:val="008E7556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7F65"/>
    <w:rsid w:val="009675F1"/>
    <w:rsid w:val="00970DC3"/>
    <w:rsid w:val="0099708A"/>
    <w:rsid w:val="009A3F84"/>
    <w:rsid w:val="009A4A89"/>
    <w:rsid w:val="009B0A74"/>
    <w:rsid w:val="009B4140"/>
    <w:rsid w:val="009D240E"/>
    <w:rsid w:val="009D2788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F4F"/>
    <w:rsid w:val="00A85D89"/>
    <w:rsid w:val="00A90BE3"/>
    <w:rsid w:val="00A95BEB"/>
    <w:rsid w:val="00AB0C45"/>
    <w:rsid w:val="00AD228D"/>
    <w:rsid w:val="00AE2688"/>
    <w:rsid w:val="00AE597C"/>
    <w:rsid w:val="00AE7010"/>
    <w:rsid w:val="00AF3241"/>
    <w:rsid w:val="00AF42BE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C00A8D"/>
    <w:rsid w:val="00C058D3"/>
    <w:rsid w:val="00C109A4"/>
    <w:rsid w:val="00C23E37"/>
    <w:rsid w:val="00C311E3"/>
    <w:rsid w:val="00C333CC"/>
    <w:rsid w:val="00C54BDF"/>
    <w:rsid w:val="00C54D52"/>
    <w:rsid w:val="00C56129"/>
    <w:rsid w:val="00C56BA5"/>
    <w:rsid w:val="00C56FEC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219F"/>
    <w:rsid w:val="00D254C6"/>
    <w:rsid w:val="00D30528"/>
    <w:rsid w:val="00D30AC0"/>
    <w:rsid w:val="00D32089"/>
    <w:rsid w:val="00D35279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B11A7"/>
    <w:rsid w:val="00DB7841"/>
    <w:rsid w:val="00DC203B"/>
    <w:rsid w:val="00DC45F2"/>
    <w:rsid w:val="00DD22B0"/>
    <w:rsid w:val="00DD4EAF"/>
    <w:rsid w:val="00DD7CD5"/>
    <w:rsid w:val="00DF0036"/>
    <w:rsid w:val="00DF2EDF"/>
    <w:rsid w:val="00DF3AD8"/>
    <w:rsid w:val="00DF4810"/>
    <w:rsid w:val="00DF670E"/>
    <w:rsid w:val="00E01F2F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74714"/>
    <w:rsid w:val="00E769D8"/>
    <w:rsid w:val="00E823B6"/>
    <w:rsid w:val="00E8393C"/>
    <w:rsid w:val="00E95C1C"/>
    <w:rsid w:val="00E9601A"/>
    <w:rsid w:val="00EA0923"/>
    <w:rsid w:val="00EB49B1"/>
    <w:rsid w:val="00EC39F2"/>
    <w:rsid w:val="00ED05DA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scmrat@candw.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collections/financial-sanctions-regime-specificconsolidated-lists-and-relea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2015-04-10T13:25:00Z</cp:lastPrinted>
  <dcterms:created xsi:type="dcterms:W3CDTF">2015-04-10T13:26:00Z</dcterms:created>
  <dcterms:modified xsi:type="dcterms:W3CDTF">2015-04-10T13:31:00Z</dcterms:modified>
</cp:coreProperties>
</file>