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712BEF" w:rsidTr="005149C4">
              <w:trPr>
                <w:trHeight w:val="13860"/>
              </w:trPr>
              <w:tc>
                <w:tcPr>
                  <w:tcW w:w="9270" w:type="dxa"/>
                </w:tcPr>
                <w:p w:rsidR="00DB11A7" w:rsidRPr="00C57336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FD1536" w:rsidRPr="00C57336" w:rsidRDefault="008D2EC3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</w:rPr>
                  </w:pPr>
                  <w:r w:rsidRPr="00C57336">
                    <w:rPr>
                      <w:rFonts w:ascii="Arial" w:hAnsi="Arial" w:cs="Arial"/>
                    </w:rPr>
                    <w:t>3 August</w:t>
                  </w:r>
                  <w:r w:rsidR="00C4116D" w:rsidRPr="00C57336">
                    <w:rPr>
                      <w:rFonts w:ascii="Arial" w:hAnsi="Arial" w:cs="Arial"/>
                    </w:rPr>
                    <w:t xml:space="preserve"> </w:t>
                  </w:r>
                  <w:r w:rsidR="00FD1536" w:rsidRPr="00C57336">
                    <w:rPr>
                      <w:rFonts w:ascii="Arial" w:hAnsi="Arial" w:cs="Arial"/>
                    </w:rPr>
                    <w:t>2015</w:t>
                  </w:r>
                </w:p>
                <w:p w:rsidR="00FD1536" w:rsidRPr="00C57336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</w:rPr>
                  </w:pPr>
                </w:p>
                <w:p w:rsidR="005149C4" w:rsidRPr="00C57336" w:rsidRDefault="005149C4" w:rsidP="00747D21">
                  <w:pPr>
                    <w:spacing w:after="0" w:line="240" w:lineRule="auto"/>
                    <w:ind w:left="-1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57336" w:rsidRPr="00C57336" w:rsidRDefault="00C57336" w:rsidP="003A3A9C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57336">
                    <w:rPr>
                      <w:rFonts w:ascii="Arial" w:hAnsi="Arial" w:cs="Arial"/>
                      <w:b/>
                      <w:sz w:val="28"/>
                      <w:szCs w:val="28"/>
                    </w:rPr>
                    <w:t>Belarus</w:t>
                  </w:r>
                </w:p>
                <w:p w:rsidR="00C57336" w:rsidRDefault="00C57336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Pr="00747D21" w:rsidRDefault="00C57336" w:rsidP="00747D21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(EC) 765/2006 (“the Regulation”) imposing financial sanctions against Belarus has been amended so that an asset freeze no longer applies to the persons listed in the Annex to this Notice. </w:t>
                  </w:r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P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Identifying information for the individuals and entities listed in the Annex to this Notice has been amended. </w:t>
                  </w:r>
                </w:p>
                <w:p w:rsidR="00747D21" w:rsidRPr="00747D21" w:rsidRDefault="00C57336" w:rsidP="00747D21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 </w:t>
                  </w: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Two individuals and four entities have been removed from the consolidated list and are no longer subject to an asset freeze. </w:t>
                  </w:r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P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Four individuals and three entities have had their entries amended and are still subject to an asset freeze: </w:t>
                  </w:r>
                </w:p>
                <w:p w:rsidR="00747D21" w:rsidRDefault="00C57336" w:rsidP="00747D2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You must: </w:t>
                  </w:r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1"/>
                      <w:numId w:val="2"/>
                    </w:numPr>
                    <w:spacing w:after="0" w:line="240" w:lineRule="auto"/>
                    <w:ind w:left="160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check whether you maintain any accounts or hold any funds or economic </w:t>
                  </w:r>
                  <w:r w:rsidR="00747D21"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resources for the persons set out in the Annex to this Notice; </w:t>
                  </w:r>
                </w:p>
                <w:p w:rsidR="00747D21" w:rsidRPr="00747D21" w:rsidRDefault="00747D21" w:rsidP="00747D21">
                  <w:pPr>
                    <w:pStyle w:val="ListParagraph"/>
                    <w:spacing w:after="0" w:line="240" w:lineRule="auto"/>
                    <w:ind w:left="160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1"/>
                      <w:numId w:val="2"/>
                    </w:numPr>
                    <w:spacing w:after="0" w:line="240" w:lineRule="auto"/>
                    <w:ind w:left="160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freeze such accounts, and other funds or assets; </w:t>
                  </w:r>
                </w:p>
                <w:p w:rsidR="00747D21" w:rsidRPr="00747D21" w:rsidRDefault="00747D21" w:rsidP="00747D2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1"/>
                      <w:numId w:val="2"/>
                    </w:numPr>
                    <w:spacing w:after="0" w:line="240" w:lineRule="auto"/>
                    <w:ind w:left="160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refrain from dealing with the funds or assets or making them available to such persons unles</w:t>
                  </w:r>
                  <w:r w:rsidR="00747D21"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s licensed by the </w:t>
                  </w:r>
                  <w:r w:rsidR="005B6AE3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="00747D21"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; </w:t>
                  </w:r>
                </w:p>
                <w:p w:rsidR="00747D21" w:rsidRPr="00747D21" w:rsidRDefault="00747D21" w:rsidP="00747D21">
                  <w:pPr>
                    <w:pStyle w:val="ListParagraph"/>
                    <w:spacing w:after="0" w:line="240" w:lineRule="auto"/>
                    <w:ind w:left="160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1"/>
                      <w:numId w:val="2"/>
                    </w:numPr>
                    <w:spacing w:after="0" w:line="240" w:lineRule="auto"/>
                    <w:ind w:left="160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report any findings to the </w:t>
                  </w:r>
                  <w:r w:rsidR="005B6AE3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, together with any additional information that would facilitate compliance with the Regulation;</w:t>
                  </w:r>
                </w:p>
                <w:p w:rsidR="00747D21" w:rsidRPr="00747D21" w:rsidRDefault="00C57336" w:rsidP="00747D2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47D21" w:rsidRDefault="00C57336" w:rsidP="003A3A9C">
                  <w:pPr>
                    <w:pStyle w:val="ListParagraph"/>
                    <w:numPr>
                      <w:ilvl w:val="1"/>
                      <w:numId w:val="2"/>
                    </w:numPr>
                    <w:spacing w:after="0" w:line="240" w:lineRule="auto"/>
                    <w:ind w:left="160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provide</w:t>
                  </w:r>
                  <w:proofErr w:type="gramEnd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any information concerning the frozen assets of designated persons that the </w:t>
                  </w:r>
                  <w:r w:rsidR="005B6AE3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may request. Information reported to the </w:t>
                  </w:r>
                  <w:r w:rsidR="005B6AE3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may be passed on to other regulatory authorities or law enforcement. </w:t>
                  </w:r>
                </w:p>
                <w:p w:rsidR="00747D21" w:rsidRPr="00747D21" w:rsidRDefault="00747D21" w:rsidP="00747D21">
                  <w:pPr>
                    <w:pStyle w:val="ListParagraph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Pr="00747D21" w:rsidRDefault="00747D21" w:rsidP="00747D21">
                  <w:pPr>
                    <w:pStyle w:val="ListParagraph"/>
                    <w:ind w:left="160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747D21" w:rsidRPr="00747D21" w:rsidRDefault="00C57336" w:rsidP="00747D21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On 14 July 2015 Council Implementing Regulation (EU) No 2015/1133 (“the Amending Regulation”) was published in the Official Journal of the European Union (O.J. L 185, 14.7.2015, p.1) by the Council of the European Union.</w:t>
                  </w:r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 to the Regulation with effect from 15 July 2015. </w:t>
                  </w:r>
                </w:p>
                <w:p w:rsidR="00747D21" w:rsidRPr="00747D21" w:rsidRDefault="00747D21" w:rsidP="00747D21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P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Please note</w:t>
                  </w:r>
                  <w:proofErr w:type="gramStart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gramEnd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the Amending Regulation contains additional identifying information in Cyrillic which is not included in this Notice.</w:t>
                  </w:r>
                </w:p>
                <w:p w:rsidR="00747D21" w:rsidRPr="00747D21" w:rsidRDefault="00C57336" w:rsidP="00747D21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747D21" w:rsidRP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747D21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http://eur-lex.europa.eu/legal-content/EN/TXT/PDF/?uri=OJ:JOL_2015_185_R_0001&amp;from=EN</w:t>
                    </w:r>
                  </w:hyperlink>
                  <w:r w:rsidR="00C57336"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Copies of relevant Releases, certain EU Regulations, and UK legislation can be obtain</w:t>
                  </w:r>
                  <w:r w:rsidR="00747D21" w:rsidRPr="00747D21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d from the Belarus financial sanctions page on the GOV.UK website: </w:t>
                  </w:r>
                </w:p>
                <w:p w:rsid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747D21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Please note there </w:t>
                  </w:r>
                  <w:proofErr w:type="gramStart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are also import</w:t>
                  </w:r>
                  <w:proofErr w:type="gramEnd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and export restrictions on Belarus. Further guidance on export and trade sanctions is available from the GOV.UK website:</w:t>
                  </w:r>
                </w:p>
                <w:p w:rsid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747D21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https://www.gov.uk/sanctions-embargoes-and-restrictions</w:t>
                    </w:r>
                  </w:hyperlink>
                  <w:r w:rsidR="00C57336"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Default="00C57336" w:rsidP="003A3A9C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Please see the FAQs for more information around financial sanctions: </w:t>
                  </w:r>
                  <w:hyperlink r:id="rId13" w:history="1">
                    <w:r w:rsidR="00747D21" w:rsidRPr="00747D21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Pr="00747D21" w:rsidRDefault="00747D21" w:rsidP="00747D21">
                  <w:pPr>
                    <w:pStyle w:val="ListParagraph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747D21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Enquiries/Contact Details</w:t>
                  </w:r>
                </w:p>
                <w:p w:rsidR="00BC1912" w:rsidRPr="00C57336" w:rsidRDefault="00BC1912" w:rsidP="00747D21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3A3A9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BC1912" w:rsidRPr="00C57336" w:rsidRDefault="00BC1912" w:rsidP="00747D21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His Excellency, the Governor</w:t>
                  </w: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BC1912" w:rsidRPr="00C57336" w:rsidRDefault="00BC1912" w:rsidP="00747D21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BC1912" w:rsidRPr="00C57336" w:rsidRDefault="00BC1912" w:rsidP="00301F83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="00F55C2D" w:rsidRPr="00C57336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F55C2D" w:rsidRPr="00C57336" w:rsidRDefault="00F55C2D" w:rsidP="00BC1912">
                  <w:pPr>
                    <w:spacing w:after="0" w:line="240" w:lineRule="auto"/>
                    <w:ind w:left="619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C57336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BC1912" w:rsidRPr="00C57336" w:rsidRDefault="008D2EC3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03/08</w:t>
                  </w:r>
                  <w:r w:rsidR="00BC1912"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  <w:p w:rsidR="00BC1912" w:rsidRPr="00C57336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Pr="00C57336" w:rsidRDefault="000C2FE8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7336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  <w:p w:rsidR="007F6210" w:rsidRPr="00C57336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2FE8" w:rsidRPr="00C57336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01F83" w:rsidRPr="00C57336" w:rsidRDefault="00301F83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Default="00747D21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Default="00747D21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Default="00747D21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Default="00747D21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Default="00747D21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Pr="00C57336" w:rsidRDefault="00747D21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C57336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Pr="00747D21" w:rsidRDefault="00C57336" w:rsidP="00747D21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ANNEX TO NOTICE</w:t>
                  </w:r>
                </w:p>
                <w:p w:rsidR="00747D21" w:rsidRPr="00747D21" w:rsidRDefault="00747D21" w:rsidP="00747D21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Pr="00747D21" w:rsidRDefault="00C57336" w:rsidP="00747D21">
                  <w:pPr>
                    <w:pStyle w:val="ListParagraph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BELARUS</w:t>
                  </w:r>
                </w:p>
                <w:p w:rsidR="00747D21" w:rsidRPr="00747D21" w:rsidRDefault="00747D21" w:rsidP="005B6AE3">
                  <w:pPr>
                    <w:pStyle w:val="List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Pr="00747D21" w:rsidRDefault="00C57336" w:rsidP="005B6AE3">
                  <w:pPr>
                    <w:pStyle w:val="List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No 2015/1133</w:t>
                  </w:r>
                </w:p>
                <w:p w:rsidR="00747D21" w:rsidRPr="00747D21" w:rsidRDefault="00747D21" w:rsidP="005B6AE3">
                  <w:pPr>
                    <w:pStyle w:val="List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47D21" w:rsidRPr="00747D21" w:rsidRDefault="00C57336" w:rsidP="005B6AE3">
                  <w:pPr>
                    <w:pStyle w:val="ListParagrap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 TO COUNCIL REGULATION (EC) No 765/2006</w:t>
                  </w:r>
                </w:p>
                <w:p w:rsidR="00747D21" w:rsidRDefault="00747D21" w:rsidP="005B6AE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Pr="00747D21" w:rsidRDefault="00C57336" w:rsidP="005B6AE3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DELISTINGS</w:t>
                  </w:r>
                </w:p>
                <w:p w:rsidR="00747D21" w:rsidRDefault="00C57336" w:rsidP="005B6AE3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747D21" w:rsidRPr="00747D21" w:rsidRDefault="00747D21" w:rsidP="005B6AE3">
                  <w:pPr>
                    <w:rPr>
                      <w:rFonts w:ascii="Arial" w:hAnsi="Arial" w:cs="Arial"/>
                      <w:b/>
                      <w:sz w:val="2"/>
                      <w:szCs w:val="2"/>
                      <w:u w:val="single"/>
                    </w:rPr>
                  </w:pPr>
                </w:p>
                <w:p w:rsidR="00747D21" w:rsidRPr="00747D21" w:rsidRDefault="00C57336" w:rsidP="003A3A9C">
                  <w:pPr>
                    <w:pStyle w:val="ListParagraph"/>
                    <w:numPr>
                      <w:ilvl w:val="2"/>
                      <w:numId w:val="2"/>
                    </w:numPr>
                    <w:ind w:left="972" w:hanging="4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KOZIK, </w:t>
                  </w:r>
                  <w:proofErr w:type="spellStart"/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>Leanid</w:t>
                  </w:r>
                  <w:proofErr w:type="spellEnd"/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>Piatrovich</w:t>
                  </w:r>
                  <w:proofErr w:type="spellEnd"/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47D21" w:rsidRDefault="00C57336" w:rsidP="005B6AE3">
                  <w:pPr>
                    <w:pStyle w:val="ListParagraph"/>
                    <w:ind w:left="97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13/07/1948.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Borisov</w:t>
                  </w:r>
                  <w:proofErr w:type="spellEnd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KOZIK, Leonid, </w:t>
                  </w:r>
                  <w:proofErr w:type="spellStart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Petrovich</w:t>
                  </w:r>
                  <w:proofErr w:type="spellEnd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National Identification no: 3130748A017PB8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Head of the Federation of Trade Unions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Former deputy Prime Minister and deputy Head of the President's Administration.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22/05/2006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8893. </w:t>
                  </w:r>
                </w:p>
                <w:p w:rsidR="00747D21" w:rsidRPr="00747D21" w:rsidRDefault="00747D21" w:rsidP="005B6AE3">
                  <w:pPr>
                    <w:pStyle w:val="ListParagraph"/>
                    <w:ind w:left="97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47D21" w:rsidRPr="00747D21" w:rsidRDefault="00C57336" w:rsidP="003A3A9C">
                  <w:pPr>
                    <w:pStyle w:val="ListParagraph"/>
                    <w:numPr>
                      <w:ilvl w:val="2"/>
                      <w:numId w:val="2"/>
                    </w:numPr>
                    <w:ind w:left="972" w:hanging="4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SKURAT, </w:t>
                  </w:r>
                  <w:proofErr w:type="spellStart"/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>Viktar</w:t>
                  </w:r>
                  <w:proofErr w:type="spellEnd"/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>Vatslavavich</w:t>
                  </w:r>
                  <w:proofErr w:type="spellEnd"/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47D21" w:rsidRPr="00747D21" w:rsidRDefault="00C57336" w:rsidP="005B6AE3">
                  <w:pPr>
                    <w:pStyle w:val="ListParagraph"/>
                    <w:ind w:left="972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SKURAT, Viktor, </w:t>
                  </w:r>
                  <w:proofErr w:type="spellStart"/>
                  <w:proofErr w:type="gramStart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>Vatslavovich</w:t>
                  </w:r>
                  <w:proofErr w:type="spellEnd"/>
                  <w:proofErr w:type="gramEnd"/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Head of the security department of the company ‘MZOR’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MZOR is a state-owned holding company. Former Head of the Security Department of the Ministry of Interior, from which he retired in February 2013.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29/03/2011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11730. </w:t>
                  </w:r>
                </w:p>
                <w:p w:rsidR="00747D21" w:rsidRPr="00747D21" w:rsidRDefault="00C57336" w:rsidP="005B6AE3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47D21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Entities </w:t>
                  </w:r>
                </w:p>
                <w:p w:rsidR="005B6AE3" w:rsidRPr="005B6AE3" w:rsidRDefault="00C57336" w:rsidP="003A3A9C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CJSC ASKARGOTERMINAL </w:t>
                  </w:r>
                </w:p>
                <w:p w:rsidR="00747D21" w:rsidRDefault="00C57336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Subsidiary of LLC Triple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12579. </w:t>
                  </w:r>
                </w:p>
                <w:p w:rsidR="00747D21" w:rsidRPr="00747D21" w:rsidRDefault="00747D21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Default="00C57336" w:rsidP="003A3A9C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JCJSC ALTERSOLUTIONS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47D21" w:rsidRDefault="00C57336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Subsidiary of LLC Triple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12586. </w:t>
                  </w:r>
                </w:p>
                <w:p w:rsidR="00747D21" w:rsidRPr="00747D21" w:rsidRDefault="00747D21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Default="00C57336" w:rsidP="003A3A9C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JLLC TRIPLE-DEKOR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47D21" w:rsidRDefault="00C57336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LLC Triple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12584. </w:t>
                  </w:r>
                </w:p>
                <w:p w:rsidR="00747D21" w:rsidRPr="00747D21" w:rsidRDefault="00747D21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Default="00C57336" w:rsidP="003A3A9C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JLLC VARIANT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47D21" w:rsidRPr="00747D21" w:rsidRDefault="00C57336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Subsidiary of LLC Triple Listed on: 26/03/2012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Last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Updated</w:t>
                  </w:r>
                  <w:r w:rsidR="00747D21"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="00747D21"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="00747D21"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: 12583. </w:t>
                  </w:r>
                </w:p>
                <w:p w:rsidR="00747D21" w:rsidRDefault="00747D21" w:rsidP="005B6AE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Pr="005B6AE3" w:rsidRDefault="00C57336" w:rsidP="005B6AE3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AMENDMENTS </w:t>
                  </w:r>
                </w:p>
                <w:p w:rsidR="005B6AE3" w:rsidRDefault="00C57336" w:rsidP="005B6AE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7D21">
                    <w:rPr>
                      <w:rFonts w:ascii="Arial" w:hAnsi="Arial" w:cs="Arial"/>
                      <w:sz w:val="24"/>
                      <w:szCs w:val="24"/>
                    </w:rPr>
                    <w:t xml:space="preserve">Deleted information appears in strikethrough. Additional information appears in italics and is underlined. </w:t>
                  </w:r>
                </w:p>
                <w:p w:rsidR="005B6AE3" w:rsidRPr="005B6AE3" w:rsidRDefault="00C57336" w:rsidP="005B6AE3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5B6AE3" w:rsidRPr="005B6AE3" w:rsidRDefault="00C57336" w:rsidP="003A3A9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BAZANAU,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Aliaksandr</w:t>
                  </w:r>
                  <w:proofErr w:type="spellEnd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Viktaravich</w:t>
                  </w:r>
                  <w:proofErr w:type="spellEnd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B6AE3" w:rsidRDefault="00C57336" w:rsidP="005B6AE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26/11/1962.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Kazakhstan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BAZANOV,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Aleksandr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Viktorovich</w:t>
                  </w:r>
                  <w:proofErr w:type="spellEnd"/>
                  <w:proofErr w:type="gram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: Deputy Director General of </w:t>
                  </w:r>
                  <w:proofErr w:type="spellStart"/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Beltelecom</w:t>
                  </w:r>
                  <w:proofErr w:type="spellEnd"/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Director, Information and Analytical Centre of the President's Administration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In charge of external relations and relations with the state institutions. Former Director of the Information and Analytical Centre of the President's Administration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02/02/2011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11396. </w:t>
                  </w:r>
                </w:p>
                <w:p w:rsidR="005B6AE3" w:rsidRPr="005B6AE3" w:rsidRDefault="005B6AE3" w:rsidP="005B6AE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Pr="005B6AE3" w:rsidRDefault="00C57336" w:rsidP="003A3A9C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KISIALIOU,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Anatol</w:t>
                  </w:r>
                  <w:proofErr w:type="spellEnd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Siamionavich</w:t>
                  </w:r>
                  <w:proofErr w:type="spellEnd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B6AE3" w:rsidRDefault="00C57336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(1) KISELEV,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Anatoli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Semenovich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(2) KISELYOV, </w:t>
                  </w:r>
                  <w:proofErr w:type="spellStart"/>
                  <w:proofErr w:type="gram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Anatoli</w:t>
                  </w:r>
                  <w:proofErr w:type="spellEnd"/>
                  <w:proofErr w:type="gram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Semyonovich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Head of the pro-regime regional trade union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organisation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Former Head of Regional Election Commission </w:t>
                  </w:r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of the 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Brest </w:t>
                  </w:r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region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02/02/2011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11412. </w:t>
                  </w:r>
                </w:p>
                <w:p w:rsidR="005B6AE3" w:rsidRPr="005B6AE3" w:rsidRDefault="005B6AE3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Pr="005B6AE3" w:rsidRDefault="00C57336" w:rsidP="003A3A9C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KRYSHTAPOVICH,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Leu</w:t>
                  </w:r>
                  <w:proofErr w:type="spellEnd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Eustafievich</w:t>
                  </w:r>
                  <w:proofErr w:type="spellEnd"/>
                </w:p>
                <w:p w:rsidR="005B6AE3" w:rsidRDefault="00C57336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Pekalin</w:t>
                  </w:r>
                  <w:proofErr w:type="spellEnd"/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, district of </w:t>
                  </w:r>
                  <w:proofErr w:type="spellStart"/>
                  <w:r w:rsidRPr="005B6AE3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Smolevichi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(1) KRISHTAPOVICH, Lev,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Evstafievich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(2) KRISHTAPOVICH, Lev,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Yevstafievich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(3) KRYSHTAPOVICH, </w:t>
                  </w:r>
                  <w:proofErr w:type="spellStart"/>
                  <w:proofErr w:type="gram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Leu</w:t>
                  </w:r>
                  <w:proofErr w:type="spellEnd"/>
                  <w:proofErr w:type="gram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Yeustafievich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Head of the Scientific Research Department of the State Culture and Arts University </w:t>
                  </w:r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Deputy Director, Information and Analytical Centre of the President's Administration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Former Deputy Director of the Information and Analytical Centre of the President's Administration.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02/02/2011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: 11398.</w:t>
                  </w:r>
                </w:p>
                <w:p w:rsidR="005B6AE3" w:rsidRPr="005B6AE3" w:rsidRDefault="005B6AE3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Pr="005B6AE3" w:rsidRDefault="00C57336" w:rsidP="003A3A9C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ZHADOBIN,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Iury</w:t>
                  </w:r>
                  <w:proofErr w:type="spellEnd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Viktaravich</w:t>
                  </w:r>
                  <w:proofErr w:type="spellEnd"/>
                </w:p>
                <w:p w:rsidR="005B6AE3" w:rsidRPr="005B6AE3" w:rsidRDefault="00C57336" w:rsidP="005B6AE3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14/11/1954.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Dnipropetrovsk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(1) ZHADOBIN,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Iuri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Viktorovich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(2) ZHADOBIN, Yuri,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Viktorovich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(3) ZHADOBIN,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Yury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Viktaravich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National Identification no: 3141154A021PB0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Minister of </w:t>
                  </w:r>
                  <w:proofErr w:type="spellStart"/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Defence</w:t>
                  </w:r>
                  <w:proofErr w:type="spellEnd"/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since December 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2009 Other Information: </w:t>
                  </w:r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Former Minister of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Defence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He is a member of the Security Council.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02/02/2011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11462. </w:t>
                  </w:r>
                </w:p>
                <w:p w:rsidR="005B6AE3" w:rsidRPr="005B6AE3" w:rsidRDefault="00C57336" w:rsidP="00747D21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lastRenderedPageBreak/>
                    <w:t xml:space="preserve">Entities </w:t>
                  </w:r>
                </w:p>
                <w:p w:rsidR="005B6AE3" w:rsidRPr="005B6AE3" w:rsidRDefault="00C57336" w:rsidP="003A3A9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CJSC DINAMO-MINSK </w:t>
                  </w:r>
                </w:p>
                <w:p w:rsidR="005B6AE3" w:rsidRDefault="00C57336" w:rsidP="005B6AE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Designated companies LLC Triple and LLC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Rakowski</w:t>
                  </w:r>
                  <w:proofErr w:type="spellEnd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Browar</w:t>
                  </w:r>
                  <w:proofErr w:type="spellEnd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together hold majority shares and control of CJSC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Dinamo</w:t>
                  </w:r>
                  <w:proofErr w:type="spellEnd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-Minsk. Both LLC Triple and LLC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Rakowski</w:t>
                  </w:r>
                  <w:proofErr w:type="spellEnd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browar</w:t>
                  </w:r>
                  <w:proofErr w:type="spellEnd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are controlled by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Iury</w:t>
                  </w:r>
                  <w:proofErr w:type="spellEnd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Chyzh</w:t>
                  </w:r>
                  <w:proofErr w:type="spellEnd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who holds majority shares in both entities and therefore ultimately controls CJSC </w:t>
                  </w:r>
                  <w:proofErr w:type="spellStart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Dinamo</w:t>
                  </w:r>
                  <w:proofErr w:type="spellEnd"/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Minsk.</w:t>
                  </w:r>
                  <w:r w:rsidRPr="003A3A9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Subsidiary of LLC Triple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: 12592.</w:t>
                  </w:r>
                </w:p>
                <w:p w:rsidR="005B6AE3" w:rsidRPr="005B6AE3" w:rsidRDefault="005B6AE3" w:rsidP="005B6AE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Pr="005B6AE3" w:rsidRDefault="00C57336" w:rsidP="003A3A9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A3A9C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 xml:space="preserve">CJSC </w:t>
                  </w:r>
                  <w:proofErr w:type="spellStart"/>
                  <w:r w:rsidRPr="003A3A9C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Prostor</w:t>
                  </w:r>
                  <w:proofErr w:type="spellEnd"/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-Trade </w:t>
                  </w:r>
                  <w:r w:rsidRPr="005B6AE3">
                    <w:rPr>
                      <w:rFonts w:ascii="Arial" w:hAnsi="Arial" w:cs="Arial"/>
                      <w:b/>
                      <w:strike/>
                      <w:sz w:val="24"/>
                      <w:szCs w:val="24"/>
                    </w:rPr>
                    <w:t xml:space="preserve">JCJSC PROSTOREMARKET </w:t>
                  </w:r>
                </w:p>
                <w:p w:rsidR="005B6AE3" w:rsidRDefault="00C57336" w:rsidP="005B6AE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Subsidiary of LLC Triple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: 12587.</w:t>
                  </w:r>
                </w:p>
                <w:p w:rsidR="005B6AE3" w:rsidRPr="005B6AE3" w:rsidRDefault="005B6AE3" w:rsidP="005B6AE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AE3" w:rsidRPr="005B6AE3" w:rsidRDefault="00C57336" w:rsidP="003A3A9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SPETSPRIBORSERVICE </w:t>
                  </w:r>
                </w:p>
                <w:p w:rsidR="00C57336" w:rsidRPr="005B6AE3" w:rsidRDefault="00C57336" w:rsidP="005B6AE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Entity formerly controlled by Vladimir </w:t>
                  </w:r>
                  <w:proofErr w:type="spellStart"/>
                  <w:r w:rsidRPr="005B6AE3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Peftiyev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. This company is part of the </w:t>
                  </w:r>
                  <w:proofErr w:type="spellStart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>BelTech</w:t>
                  </w:r>
                  <w:proofErr w:type="spellEnd"/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 Holding.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5B6A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5B6AE3">
                    <w:rPr>
                      <w:rFonts w:ascii="Arial" w:hAnsi="Arial" w:cs="Arial"/>
                      <w:sz w:val="24"/>
                      <w:szCs w:val="24"/>
                    </w:rPr>
                    <w:t xml:space="preserve">: 12575. </w:t>
                  </w:r>
                </w:p>
                <w:p w:rsidR="00BC1912" w:rsidRPr="0036402A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6402A" w:rsidRDefault="0036402A" w:rsidP="006E2F13">
                  <w:pPr>
                    <w:pStyle w:val="ListParagraph"/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402A" w:rsidRDefault="0036402A" w:rsidP="006E2F13">
                  <w:pPr>
                    <w:pStyle w:val="ListParagraph"/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4116D" w:rsidRPr="007D36BF" w:rsidRDefault="00C4116D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4116D" w:rsidRPr="007D36BF" w:rsidRDefault="00C4116D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D36B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C4116D" w:rsidRPr="00373A32" w:rsidRDefault="008D2EC3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03/08</w:t>
                  </w:r>
                  <w:r w:rsidR="00C4116D" w:rsidRPr="007D36BF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E75EA"/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E3" w:rsidRDefault="005B6AE3" w:rsidP="00A214FB">
      <w:pPr>
        <w:spacing w:after="0" w:line="240" w:lineRule="auto"/>
      </w:pPr>
      <w:r>
        <w:separator/>
      </w:r>
    </w:p>
  </w:endnote>
  <w:endnote w:type="continuationSeparator" w:id="1">
    <w:p w:rsidR="005B6AE3" w:rsidRDefault="005B6AE3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E3" w:rsidRDefault="005B6AE3" w:rsidP="00A214FB">
      <w:pPr>
        <w:spacing w:after="0" w:line="240" w:lineRule="auto"/>
      </w:pPr>
      <w:r>
        <w:separator/>
      </w:r>
    </w:p>
  </w:footnote>
  <w:footnote w:type="continuationSeparator" w:id="1">
    <w:p w:rsidR="005B6AE3" w:rsidRDefault="005B6AE3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0E1"/>
    <w:multiLevelType w:val="hybridMultilevel"/>
    <w:tmpl w:val="C0EEFB1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45FD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0F75"/>
    <w:multiLevelType w:val="hybridMultilevel"/>
    <w:tmpl w:val="B964BBDE"/>
    <w:lvl w:ilvl="0" w:tplc="1834E3C2">
      <w:start w:val="1"/>
      <w:numFmt w:val="lowerRoman"/>
      <w:lvlText w:val="%1."/>
      <w:lvlJc w:val="left"/>
      <w:pPr>
        <w:ind w:left="1692" w:hanging="360"/>
      </w:pPr>
      <w:rPr>
        <w:rFonts w:hint="default"/>
      </w:rPr>
    </w:lvl>
    <w:lvl w:ilvl="1" w:tplc="1834E3C2">
      <w:start w:val="1"/>
      <w:numFmt w:val="lowerRoman"/>
      <w:lvlText w:val="%2."/>
      <w:lvlJc w:val="left"/>
      <w:pPr>
        <w:ind w:left="2412" w:hanging="360"/>
      </w:pPr>
      <w:rPr>
        <w:rFonts w:hint="default"/>
      </w:rPr>
    </w:lvl>
    <w:lvl w:ilvl="2" w:tplc="C5641944">
      <w:start w:val="1"/>
      <w:numFmt w:val="decimal"/>
      <w:lvlText w:val="%3."/>
      <w:lvlJc w:val="left"/>
      <w:pPr>
        <w:ind w:left="3312" w:hanging="360"/>
      </w:pPr>
      <w:rPr>
        <w:rFonts w:hint="default"/>
        <w:b w:val="0"/>
      </w:rPr>
    </w:lvl>
    <w:lvl w:ilvl="3" w:tplc="2409000F" w:tentative="1">
      <w:start w:val="1"/>
      <w:numFmt w:val="decimal"/>
      <w:lvlText w:val="%4."/>
      <w:lvlJc w:val="left"/>
      <w:pPr>
        <w:ind w:left="3852" w:hanging="360"/>
      </w:pPr>
    </w:lvl>
    <w:lvl w:ilvl="4" w:tplc="24090019" w:tentative="1">
      <w:start w:val="1"/>
      <w:numFmt w:val="lowerLetter"/>
      <w:lvlText w:val="%5."/>
      <w:lvlJc w:val="left"/>
      <w:pPr>
        <w:ind w:left="4572" w:hanging="360"/>
      </w:pPr>
    </w:lvl>
    <w:lvl w:ilvl="5" w:tplc="2409001B" w:tentative="1">
      <w:start w:val="1"/>
      <w:numFmt w:val="lowerRoman"/>
      <w:lvlText w:val="%6."/>
      <w:lvlJc w:val="right"/>
      <w:pPr>
        <w:ind w:left="5292" w:hanging="180"/>
      </w:pPr>
    </w:lvl>
    <w:lvl w:ilvl="6" w:tplc="2409000F" w:tentative="1">
      <w:start w:val="1"/>
      <w:numFmt w:val="decimal"/>
      <w:lvlText w:val="%7."/>
      <w:lvlJc w:val="left"/>
      <w:pPr>
        <w:ind w:left="6012" w:hanging="360"/>
      </w:pPr>
    </w:lvl>
    <w:lvl w:ilvl="7" w:tplc="24090019" w:tentative="1">
      <w:start w:val="1"/>
      <w:numFmt w:val="lowerLetter"/>
      <w:lvlText w:val="%8."/>
      <w:lvlJc w:val="left"/>
      <w:pPr>
        <w:ind w:left="6732" w:hanging="360"/>
      </w:pPr>
    </w:lvl>
    <w:lvl w:ilvl="8" w:tplc="2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>
    <w:nsid w:val="4C477766"/>
    <w:multiLevelType w:val="hybridMultilevel"/>
    <w:tmpl w:val="7B920214"/>
    <w:lvl w:ilvl="0" w:tplc="06DA1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259EA"/>
    <w:multiLevelType w:val="hybridMultilevel"/>
    <w:tmpl w:val="DDB02A4A"/>
    <w:lvl w:ilvl="0" w:tplc="D9A05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55A09"/>
    <w:multiLevelType w:val="hybridMultilevel"/>
    <w:tmpl w:val="FAE2552C"/>
    <w:lvl w:ilvl="0" w:tplc="CF8E2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D74"/>
    <w:rsid w:val="00067694"/>
    <w:rsid w:val="00067C0A"/>
    <w:rsid w:val="000701D8"/>
    <w:rsid w:val="00071616"/>
    <w:rsid w:val="00073543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1E43"/>
    <w:rsid w:val="001E2232"/>
    <w:rsid w:val="001E4907"/>
    <w:rsid w:val="001F7AC4"/>
    <w:rsid w:val="00200BC9"/>
    <w:rsid w:val="00203218"/>
    <w:rsid w:val="0021008B"/>
    <w:rsid w:val="002104A3"/>
    <w:rsid w:val="0021324B"/>
    <w:rsid w:val="00215E48"/>
    <w:rsid w:val="00222F81"/>
    <w:rsid w:val="00224E2E"/>
    <w:rsid w:val="00225ED1"/>
    <w:rsid w:val="00237524"/>
    <w:rsid w:val="00250218"/>
    <w:rsid w:val="0025054F"/>
    <w:rsid w:val="00250A57"/>
    <w:rsid w:val="00253878"/>
    <w:rsid w:val="00255F4B"/>
    <w:rsid w:val="00260302"/>
    <w:rsid w:val="00260890"/>
    <w:rsid w:val="002610CD"/>
    <w:rsid w:val="00261C0C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50C"/>
    <w:rsid w:val="002E2140"/>
    <w:rsid w:val="002E75EA"/>
    <w:rsid w:val="002F07E9"/>
    <w:rsid w:val="002F3883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44AAA"/>
    <w:rsid w:val="003478E6"/>
    <w:rsid w:val="00353E17"/>
    <w:rsid w:val="003556BD"/>
    <w:rsid w:val="0036402A"/>
    <w:rsid w:val="00371B82"/>
    <w:rsid w:val="00372CC7"/>
    <w:rsid w:val="00373A32"/>
    <w:rsid w:val="00374424"/>
    <w:rsid w:val="00376FE1"/>
    <w:rsid w:val="00381D34"/>
    <w:rsid w:val="00383BFA"/>
    <w:rsid w:val="003944DD"/>
    <w:rsid w:val="003A0A7C"/>
    <w:rsid w:val="003A3A9C"/>
    <w:rsid w:val="003A6C90"/>
    <w:rsid w:val="003B5286"/>
    <w:rsid w:val="003B5954"/>
    <w:rsid w:val="003C2609"/>
    <w:rsid w:val="003D1BB7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04D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6D70"/>
    <w:rsid w:val="00541C34"/>
    <w:rsid w:val="005438EC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8EA"/>
    <w:rsid w:val="00590254"/>
    <w:rsid w:val="005935D2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7ADE"/>
    <w:rsid w:val="006316D1"/>
    <w:rsid w:val="00637112"/>
    <w:rsid w:val="00647835"/>
    <w:rsid w:val="00655054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C2C03"/>
    <w:rsid w:val="006C6406"/>
    <w:rsid w:val="006C74AF"/>
    <w:rsid w:val="006C7ACC"/>
    <w:rsid w:val="006D2EBA"/>
    <w:rsid w:val="006D45E8"/>
    <w:rsid w:val="006E2800"/>
    <w:rsid w:val="006E2F13"/>
    <w:rsid w:val="006E31AB"/>
    <w:rsid w:val="006E552C"/>
    <w:rsid w:val="00701AB9"/>
    <w:rsid w:val="007055C9"/>
    <w:rsid w:val="00712BEF"/>
    <w:rsid w:val="007135BB"/>
    <w:rsid w:val="00720DA3"/>
    <w:rsid w:val="00723706"/>
    <w:rsid w:val="00730B57"/>
    <w:rsid w:val="007311D0"/>
    <w:rsid w:val="00731A0E"/>
    <w:rsid w:val="00734CD9"/>
    <w:rsid w:val="007371B9"/>
    <w:rsid w:val="00747D21"/>
    <w:rsid w:val="00752C6A"/>
    <w:rsid w:val="00755D80"/>
    <w:rsid w:val="00764CEB"/>
    <w:rsid w:val="00764FB0"/>
    <w:rsid w:val="0076616B"/>
    <w:rsid w:val="00766CB2"/>
    <w:rsid w:val="00787E3D"/>
    <w:rsid w:val="00794955"/>
    <w:rsid w:val="00794DEC"/>
    <w:rsid w:val="00796EA8"/>
    <w:rsid w:val="007A0964"/>
    <w:rsid w:val="007A23CF"/>
    <w:rsid w:val="007A4548"/>
    <w:rsid w:val="007A4B0F"/>
    <w:rsid w:val="007B16B9"/>
    <w:rsid w:val="007B1B41"/>
    <w:rsid w:val="007C3F0D"/>
    <w:rsid w:val="007C5F64"/>
    <w:rsid w:val="007D0208"/>
    <w:rsid w:val="007D36BF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6210"/>
    <w:rsid w:val="007F625D"/>
    <w:rsid w:val="007F723A"/>
    <w:rsid w:val="0080040D"/>
    <w:rsid w:val="008040B1"/>
    <w:rsid w:val="0080586A"/>
    <w:rsid w:val="00810736"/>
    <w:rsid w:val="0081378B"/>
    <w:rsid w:val="0081666D"/>
    <w:rsid w:val="0081678B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D2EC3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877CE"/>
    <w:rsid w:val="0099708A"/>
    <w:rsid w:val="009A3F84"/>
    <w:rsid w:val="009A4A89"/>
    <w:rsid w:val="009A7DB3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A2B6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1912"/>
    <w:rsid w:val="00BC3CD3"/>
    <w:rsid w:val="00BC614F"/>
    <w:rsid w:val="00BD1951"/>
    <w:rsid w:val="00BD20AC"/>
    <w:rsid w:val="00BD30DF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7246C"/>
    <w:rsid w:val="00C766F4"/>
    <w:rsid w:val="00C85853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2089"/>
    <w:rsid w:val="00D35279"/>
    <w:rsid w:val="00D40D31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E73B5"/>
    <w:rsid w:val="00DF0036"/>
    <w:rsid w:val="00DF082F"/>
    <w:rsid w:val="00DF2EDF"/>
    <w:rsid w:val="00DF3AD8"/>
    <w:rsid w:val="00DF4810"/>
    <w:rsid w:val="00DF670E"/>
    <w:rsid w:val="00E01F2F"/>
    <w:rsid w:val="00E03A0F"/>
    <w:rsid w:val="00E07765"/>
    <w:rsid w:val="00E104FE"/>
    <w:rsid w:val="00E10EDF"/>
    <w:rsid w:val="00E138C8"/>
    <w:rsid w:val="00E15DC9"/>
    <w:rsid w:val="00E21282"/>
    <w:rsid w:val="00E216D8"/>
    <w:rsid w:val="00E33A54"/>
    <w:rsid w:val="00E36330"/>
    <w:rsid w:val="00E36711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49B1"/>
    <w:rsid w:val="00EC39F2"/>
    <w:rsid w:val="00ED05DA"/>
    <w:rsid w:val="00ED21E2"/>
    <w:rsid w:val="00ED29C3"/>
    <w:rsid w:val="00ED5B99"/>
    <w:rsid w:val="00ED7EC7"/>
    <w:rsid w:val="00ED7FAE"/>
    <w:rsid w:val="00EE4D5D"/>
    <w:rsid w:val="00EE72DC"/>
    <w:rsid w:val="00EE7366"/>
    <w:rsid w:val="00EE7B04"/>
    <w:rsid w:val="00EE7E7F"/>
    <w:rsid w:val="00EF0E14"/>
    <w:rsid w:val="00EF2944"/>
    <w:rsid w:val="00EF36C6"/>
    <w:rsid w:val="00EF6299"/>
    <w:rsid w:val="00F26443"/>
    <w:rsid w:val="00F31F85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5C2D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B515F"/>
    <w:rsid w:val="00FD1536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sanctions-embargoes-and-restri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N/TXT/PDF/?uri=OJ:JOL_2015_185_R_0001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2015-08-07T18:54:00Z</cp:lastPrinted>
  <dcterms:created xsi:type="dcterms:W3CDTF">2015-08-07T18:55:00Z</dcterms:created>
  <dcterms:modified xsi:type="dcterms:W3CDTF">2015-08-07T19:17:00Z</dcterms:modified>
</cp:coreProperties>
</file>