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3C68D5">
              <w:trPr>
                <w:trHeight w:val="14580"/>
              </w:trPr>
              <w:tc>
                <w:tcPr>
                  <w:tcW w:w="9270" w:type="dxa"/>
                </w:tcPr>
                <w:p w:rsidR="00DB11A7" w:rsidRPr="00BD0D3A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1404D9" w:rsidRPr="00BD0D3A" w:rsidRDefault="00FC4495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  <w:r w:rsidR="00633BE5" w:rsidRPr="00BD0D3A">
                    <w:rPr>
                      <w:rFonts w:ascii="Arial" w:hAnsi="Arial" w:cs="Arial"/>
                    </w:rPr>
                    <w:t xml:space="preserve"> April</w:t>
                  </w:r>
                  <w:r w:rsidR="001273FB" w:rsidRPr="00BD0D3A">
                    <w:rPr>
                      <w:rFonts w:ascii="Arial" w:hAnsi="Arial" w:cs="Arial"/>
                    </w:rPr>
                    <w:t xml:space="preserve"> </w:t>
                  </w:r>
                  <w:r w:rsidR="00FE79F0" w:rsidRPr="00BD0D3A">
                    <w:rPr>
                      <w:rFonts w:ascii="Arial" w:hAnsi="Arial" w:cs="Arial"/>
                    </w:rPr>
                    <w:t>201</w:t>
                  </w:r>
                  <w:r w:rsidR="004D2513" w:rsidRPr="00BD0D3A">
                    <w:rPr>
                      <w:rFonts w:ascii="Arial" w:hAnsi="Arial" w:cs="Arial"/>
                    </w:rPr>
                    <w:t>6</w:t>
                  </w:r>
                </w:p>
                <w:p w:rsidR="00980361" w:rsidRPr="008C0A51" w:rsidRDefault="00980361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80361" w:rsidRPr="008C0A51" w:rsidRDefault="00980361" w:rsidP="00980361">
                  <w:pPr>
                    <w:pStyle w:val="Default"/>
                    <w:rPr>
                      <w:b/>
                    </w:rPr>
                  </w:pPr>
                </w:p>
                <w:p w:rsidR="009A1C56" w:rsidRPr="008C0A51" w:rsidRDefault="0001152D" w:rsidP="009A1C56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Terrorism and Terrorist Financing</w:t>
                  </w:r>
                </w:p>
                <w:p w:rsidR="009A1C56" w:rsidRPr="008C0A51" w:rsidRDefault="009A1C56" w:rsidP="00A835E7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9A1C56" w:rsidRPr="008C0A51" w:rsidRDefault="009A1C56" w:rsidP="00A835E7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FC4495" w:rsidRPr="00FC4495" w:rsidRDefault="00FC4495" w:rsidP="008C0A5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 xml:space="preserve">Council Regulation (EC) 2580/2001 </w:t>
                  </w:r>
                  <w:proofErr w:type="gramStart"/>
                  <w:r w:rsidRPr="00FC4495">
                    <w:rPr>
                      <w:rFonts w:ascii="Arial" w:hAnsi="Arial" w:cs="Arial"/>
                    </w:rPr>
                    <w:t>(“the Regulation”) imposing financial sanctions with regard to Terrorism and Terrorist Financing has</w:t>
                  </w:r>
                  <w:proofErr w:type="gramEnd"/>
                  <w:r w:rsidRPr="00FC4495">
                    <w:rPr>
                      <w:rFonts w:ascii="Arial" w:hAnsi="Arial" w:cs="Arial"/>
                    </w:rPr>
                    <w:t xml:space="preserve"> been amended so that an asset freeze no longer applies to the person listed in the Annex to this Notice. </w:t>
                  </w:r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 xml:space="preserve">Notice summary (Full details are provided in the Annex to this Notice) </w:t>
                  </w:r>
                </w:p>
                <w:p w:rsidR="00FC4495" w:rsidRDefault="00FC4495" w:rsidP="00FC449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 xml:space="preserve">The following entry has been removed from the consolidated list and is no longer subject to an asset freeze.  </w:t>
                  </w:r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>INTERNATIONAL SIKH YOUTH FEDERATION (ISYF) (Group ID: 7203)</w:t>
                  </w:r>
                </w:p>
                <w:p w:rsidR="00FC4495" w:rsidRDefault="00FC4495" w:rsidP="00FC449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 xml:space="preserve">Legislative details </w:t>
                  </w:r>
                </w:p>
                <w:p w:rsidR="00FC4495" w:rsidRDefault="00FC4495" w:rsidP="00FC449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 xml:space="preserve">On 22 April 2016 Council Implementing Regulation (EU) No 2016/620 (“the Amending Regulation”) was published in the Official Journal of the European Union (O.J. L 106, 22.4.2016, p.1) by the Council of the European Union. </w:t>
                  </w:r>
                </w:p>
                <w:p w:rsidR="00FC4495" w:rsidRDefault="00FC4495" w:rsidP="00FC449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 xml:space="preserve">The Amending Regulation amended the list provided for in Article 2(3) of the Regulation with effect from 23 April 2016. </w:t>
                  </w:r>
                </w:p>
                <w:p w:rsidR="00FC4495" w:rsidRDefault="00FC4495" w:rsidP="00FC449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 xml:space="preserve">Further Information </w:t>
                  </w:r>
                </w:p>
                <w:p w:rsidR="00FC4495" w:rsidRDefault="00FC4495" w:rsidP="00FC449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0" w:history="1">
                    <w:r w:rsidRPr="008946F0">
                      <w:rPr>
                        <w:rStyle w:val="Hyperlink"/>
                        <w:rFonts w:ascii="Arial" w:hAnsi="Arial" w:cs="Arial"/>
                      </w:rPr>
                      <w:t>http://eur-lex.europa.eu/legal-content/EN/TXT/PDF/?uri=OJ:L:2016:106:FULL&amp;from=EN</w:t>
                    </w:r>
                  </w:hyperlink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>Copies of recent Notices, certain EU Regulations, and UK legislation can be obtained from the Terrorism and Terrorist Financing financial sanctions page on the GOV.UK website:</w:t>
                  </w:r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1" w:history="1">
                    <w:r w:rsidRPr="008946F0">
                      <w:rPr>
                        <w:rStyle w:val="Hyperlink"/>
                        <w:rFonts w:ascii="Arial" w:hAnsi="Arial" w:cs="Arial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FC4495" w:rsidRDefault="00FC4495" w:rsidP="00FC4495">
                  <w:pPr>
                    <w:pStyle w:val="Default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</w:rPr>
                    <w:t>For more information please see our guide to financial sanctions:</w:t>
                  </w:r>
                </w:p>
                <w:p w:rsidR="00FC4495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2" w:history="1">
                    <w:r w:rsidRPr="008946F0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https://www.gov.uk/government/publications/financial-sanctions-faqs</w:t>
                    </w:r>
                  </w:hyperlink>
                </w:p>
                <w:p w:rsidR="00166B71" w:rsidRPr="00BD0D3A" w:rsidRDefault="00166B71" w:rsidP="00166B7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BD0D3A">
                    <w:rPr>
                      <w:rFonts w:ascii="Arial" w:hAnsi="Arial" w:cs="Arial"/>
                      <w:b/>
                      <w:bCs/>
                      <w:color w:val="auto"/>
                    </w:rPr>
                    <w:lastRenderedPageBreak/>
                    <w:t>Enquiries</w:t>
                  </w:r>
                </w:p>
                <w:p w:rsidR="00166B71" w:rsidRPr="00BD0D3A" w:rsidRDefault="00166B71" w:rsidP="00166B7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166B71" w:rsidRPr="00BD0D3A" w:rsidRDefault="00166B71" w:rsidP="00FC44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166B71" w:rsidRPr="00BD0D3A" w:rsidRDefault="00166B71" w:rsidP="00166B71">
                  <w:pPr>
                    <w:pStyle w:val="Default"/>
                    <w:ind w:left="900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166B71" w:rsidRPr="00BD0D3A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0D3A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BD0D3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166B71" w:rsidRDefault="00166B71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BD0D3A" w:rsidRPr="009A1C56" w:rsidRDefault="00FC4495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  <w:r w:rsidR="00BD0D3A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/04/2016</w:t>
                  </w: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FC4495">
                    <w:rPr>
                      <w:rFonts w:ascii="Arial" w:hAnsi="Arial" w:cs="Arial"/>
                      <w:b/>
                      <w:u w:val="single"/>
                    </w:rPr>
                    <w:t>ANNEX TO NOTICE</w:t>
                  </w: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>FINANCIAL SANCTIONS: TERRORISM AND TERRORIST FINANCING</w:t>
                  </w:r>
                </w:p>
                <w:p w:rsidR="00FC4495" w:rsidRPr="00FC4495" w:rsidRDefault="00FC4495" w:rsidP="00FC4495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>COUNCIL IMPLEMENTING REGULATION (EU) No 2016/620</w:t>
                  </w:r>
                </w:p>
                <w:p w:rsidR="00FC4495" w:rsidRPr="00FC4495" w:rsidRDefault="00FC4495" w:rsidP="00FC4495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>AMENDING COUNCIL REGULATION 2580/2001</w:t>
                  </w: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8C0A5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 xml:space="preserve">DELISTING </w:t>
                  </w: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8C0A51">
                  <w:pPr>
                    <w:pStyle w:val="Default"/>
                    <w:rPr>
                      <w:rFonts w:ascii="Arial" w:hAnsi="Arial" w:cs="Arial"/>
                      <w:b/>
                      <w:u w:val="single"/>
                    </w:rPr>
                  </w:pPr>
                  <w:r w:rsidRPr="00FC4495">
                    <w:rPr>
                      <w:rFonts w:ascii="Arial" w:hAnsi="Arial" w:cs="Arial"/>
                      <w:b/>
                      <w:u w:val="single"/>
                    </w:rPr>
                    <w:t xml:space="preserve">Entity </w:t>
                  </w: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FC4495" w:rsidRDefault="00FC4495" w:rsidP="00FC4495">
                  <w:pPr>
                    <w:pStyle w:val="Default"/>
                    <w:numPr>
                      <w:ilvl w:val="0"/>
                      <w:numId w:val="27"/>
                    </w:numPr>
                    <w:rPr>
                      <w:rFonts w:ascii="Arial" w:hAnsi="Arial" w:cs="Arial"/>
                      <w:b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 xml:space="preserve">INTERNATIONAL SIKH YOUTH FEDERATION (ISYF) </w:t>
                  </w:r>
                </w:p>
                <w:p w:rsidR="00BD0D3A" w:rsidRDefault="00FC4495" w:rsidP="00FC449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 w:rsidRPr="00FC4495">
                    <w:rPr>
                      <w:rFonts w:ascii="Arial" w:hAnsi="Arial" w:cs="Arial"/>
                      <w:b/>
                    </w:rPr>
                    <w:t>Other Information</w:t>
                  </w:r>
                  <w:r w:rsidRPr="00FC4495">
                    <w:rPr>
                      <w:rFonts w:ascii="Arial" w:hAnsi="Arial" w:cs="Arial"/>
                    </w:rPr>
                    <w:t xml:space="preserve">: EU listing only. </w:t>
                  </w:r>
                  <w:r w:rsidRPr="00FC4495">
                    <w:rPr>
                      <w:rFonts w:ascii="Arial" w:hAnsi="Arial" w:cs="Arial"/>
                      <w:b/>
                    </w:rPr>
                    <w:t>Listed on</w:t>
                  </w:r>
                  <w:r w:rsidRPr="00FC4495">
                    <w:rPr>
                      <w:rFonts w:ascii="Arial" w:hAnsi="Arial" w:cs="Arial"/>
                    </w:rPr>
                    <w:t xml:space="preserve">: 02/11/2001 </w:t>
                  </w:r>
                  <w:r w:rsidRPr="00FC4495">
                    <w:rPr>
                      <w:rFonts w:ascii="Arial" w:hAnsi="Arial" w:cs="Arial"/>
                      <w:b/>
                    </w:rPr>
                    <w:t>Last Updated</w:t>
                  </w:r>
                  <w:r w:rsidRPr="00FC4495">
                    <w:rPr>
                      <w:rFonts w:ascii="Arial" w:hAnsi="Arial" w:cs="Arial"/>
                    </w:rPr>
                    <w:t xml:space="preserve">: 23/04/2016 </w:t>
                  </w:r>
                  <w:r w:rsidRPr="00FC4495">
                    <w:rPr>
                      <w:rFonts w:ascii="Arial" w:hAnsi="Arial" w:cs="Arial"/>
                      <w:b/>
                    </w:rPr>
                    <w:t>Group ID</w:t>
                  </w:r>
                  <w:r w:rsidRPr="00FC4495">
                    <w:rPr>
                      <w:rFonts w:ascii="Arial" w:hAnsi="Arial" w:cs="Arial"/>
                    </w:rPr>
                    <w:t>: 7203.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C4495" w:rsidRPr="00BD0D3A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558D6" w:rsidRPr="009A1C56" w:rsidRDefault="00037EDF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  <w:r w:rsidR="003C68D5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C71033" w:rsidRPr="009A1C56" w:rsidRDefault="00FC4495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  <w:r w:rsidR="00633BE5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/04</w:t>
                  </w:r>
                  <w:r w:rsidR="00037EDF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1273FB" w:rsidRDefault="00F558D6" w:rsidP="00BD0D3A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EDF" w:rsidRDefault="00037EDF" w:rsidP="00037EDF">
      <w:pPr>
        <w:pStyle w:val="Default"/>
        <w:rPr>
          <w:rFonts w:ascii="Arial" w:hAnsi="Arial" w:cs="Arial"/>
          <w:b/>
        </w:rPr>
      </w:pPr>
    </w:p>
    <w:p w:rsidR="0051414A" w:rsidRPr="00587138" w:rsidRDefault="0051414A" w:rsidP="00037EDF">
      <w:pPr>
        <w:rPr>
          <w:rFonts w:ascii="Arial" w:hAnsi="Arial" w:cs="Arial"/>
          <w:sz w:val="24"/>
          <w:szCs w:val="24"/>
        </w:rPr>
      </w:pPr>
    </w:p>
    <w:sectPr w:rsidR="0051414A" w:rsidRPr="00587138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DF" w:rsidRDefault="00037EDF" w:rsidP="00A214FB">
      <w:pPr>
        <w:spacing w:after="0" w:line="240" w:lineRule="auto"/>
      </w:pPr>
      <w:r>
        <w:separator/>
      </w:r>
    </w:p>
  </w:endnote>
  <w:end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DF" w:rsidRDefault="00037EDF" w:rsidP="00A214FB">
      <w:pPr>
        <w:spacing w:after="0" w:line="240" w:lineRule="auto"/>
      </w:pPr>
      <w:r>
        <w:separator/>
      </w:r>
    </w:p>
  </w:footnote>
  <w:foot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9C"/>
    <w:multiLevelType w:val="hybridMultilevel"/>
    <w:tmpl w:val="C8C019B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2A6"/>
    <w:multiLevelType w:val="hybridMultilevel"/>
    <w:tmpl w:val="5BBE12F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FEA"/>
    <w:multiLevelType w:val="hybridMultilevel"/>
    <w:tmpl w:val="07A6D622"/>
    <w:lvl w:ilvl="0" w:tplc="2E608C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A44BC"/>
    <w:multiLevelType w:val="hybridMultilevel"/>
    <w:tmpl w:val="8E4C632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30C39"/>
    <w:multiLevelType w:val="hybridMultilevel"/>
    <w:tmpl w:val="C144FC28"/>
    <w:lvl w:ilvl="0" w:tplc="E90C1E8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65FEB"/>
    <w:multiLevelType w:val="hybridMultilevel"/>
    <w:tmpl w:val="1416EC78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B4329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167EE"/>
    <w:multiLevelType w:val="hybridMultilevel"/>
    <w:tmpl w:val="FB6E5E9E"/>
    <w:lvl w:ilvl="0" w:tplc="F1B2D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C13"/>
    <w:multiLevelType w:val="hybridMultilevel"/>
    <w:tmpl w:val="747E9234"/>
    <w:lvl w:ilvl="0" w:tplc="2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0A926A9"/>
    <w:multiLevelType w:val="hybridMultilevel"/>
    <w:tmpl w:val="BBF66E9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E044F"/>
    <w:multiLevelType w:val="hybridMultilevel"/>
    <w:tmpl w:val="B2724B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274"/>
    <w:multiLevelType w:val="hybridMultilevel"/>
    <w:tmpl w:val="504A7D2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C541F"/>
    <w:multiLevelType w:val="hybridMultilevel"/>
    <w:tmpl w:val="C14AB816"/>
    <w:lvl w:ilvl="0" w:tplc="D9F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CB5"/>
    <w:multiLevelType w:val="hybridMultilevel"/>
    <w:tmpl w:val="9D486DD4"/>
    <w:lvl w:ilvl="0" w:tplc="D8C47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B00B2"/>
    <w:multiLevelType w:val="hybridMultilevel"/>
    <w:tmpl w:val="94B20A00"/>
    <w:lvl w:ilvl="0" w:tplc="B798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B1553"/>
    <w:multiLevelType w:val="hybridMultilevel"/>
    <w:tmpl w:val="98789E58"/>
    <w:lvl w:ilvl="0" w:tplc="2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912CB"/>
    <w:multiLevelType w:val="hybridMultilevel"/>
    <w:tmpl w:val="71DEDC3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350DD2"/>
    <w:multiLevelType w:val="hybridMultilevel"/>
    <w:tmpl w:val="AD484D5E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5618E"/>
    <w:multiLevelType w:val="hybridMultilevel"/>
    <w:tmpl w:val="DBA026C2"/>
    <w:lvl w:ilvl="0" w:tplc="35ECF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31F72"/>
    <w:multiLevelType w:val="hybridMultilevel"/>
    <w:tmpl w:val="194E362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360A8"/>
    <w:multiLevelType w:val="hybridMultilevel"/>
    <w:tmpl w:val="9C2CE02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9238A"/>
    <w:multiLevelType w:val="hybridMultilevel"/>
    <w:tmpl w:val="24D2134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B493F"/>
    <w:multiLevelType w:val="hybridMultilevel"/>
    <w:tmpl w:val="8502079E"/>
    <w:lvl w:ilvl="0" w:tplc="8C842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05541"/>
    <w:multiLevelType w:val="hybridMultilevel"/>
    <w:tmpl w:val="AFBC4B94"/>
    <w:lvl w:ilvl="0" w:tplc="B798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010A5"/>
    <w:multiLevelType w:val="hybridMultilevel"/>
    <w:tmpl w:val="538803F4"/>
    <w:lvl w:ilvl="0" w:tplc="1740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73DC4"/>
    <w:multiLevelType w:val="hybridMultilevel"/>
    <w:tmpl w:val="82488B9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EA49AE"/>
    <w:multiLevelType w:val="hybridMultilevel"/>
    <w:tmpl w:val="8ED636C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763DB"/>
    <w:multiLevelType w:val="hybridMultilevel"/>
    <w:tmpl w:val="1304E93C"/>
    <w:lvl w:ilvl="0" w:tplc="40A68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16"/>
  </w:num>
  <w:num w:numId="10">
    <w:abstractNumId w:val="19"/>
  </w:num>
  <w:num w:numId="11">
    <w:abstractNumId w:val="26"/>
  </w:num>
  <w:num w:numId="12">
    <w:abstractNumId w:val="15"/>
  </w:num>
  <w:num w:numId="13">
    <w:abstractNumId w:val="6"/>
  </w:num>
  <w:num w:numId="14">
    <w:abstractNumId w:val="11"/>
  </w:num>
  <w:num w:numId="15">
    <w:abstractNumId w:val="21"/>
  </w:num>
  <w:num w:numId="16">
    <w:abstractNumId w:val="10"/>
  </w:num>
  <w:num w:numId="17">
    <w:abstractNumId w:val="3"/>
  </w:num>
  <w:num w:numId="18">
    <w:abstractNumId w:val="22"/>
  </w:num>
  <w:num w:numId="19">
    <w:abstractNumId w:val="13"/>
  </w:num>
  <w:num w:numId="20">
    <w:abstractNumId w:val="20"/>
  </w:num>
  <w:num w:numId="21">
    <w:abstractNumId w:val="8"/>
  </w:num>
  <w:num w:numId="22">
    <w:abstractNumId w:val="0"/>
  </w:num>
  <w:num w:numId="23">
    <w:abstractNumId w:val="12"/>
  </w:num>
  <w:num w:numId="24">
    <w:abstractNumId w:val="1"/>
  </w:num>
  <w:num w:numId="25">
    <w:abstractNumId w:val="7"/>
  </w:num>
  <w:num w:numId="26">
    <w:abstractNumId w:val="18"/>
  </w:num>
  <w:num w:numId="27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216F9"/>
    <w:rsid w:val="000230CA"/>
    <w:rsid w:val="0002527F"/>
    <w:rsid w:val="00030A6F"/>
    <w:rsid w:val="000350B6"/>
    <w:rsid w:val="00035665"/>
    <w:rsid w:val="00037EDF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5045"/>
    <w:rsid w:val="00117F43"/>
    <w:rsid w:val="0012275B"/>
    <w:rsid w:val="001273FB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6B71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7C1"/>
    <w:rsid w:val="002779BB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128A"/>
    <w:rsid w:val="002C1C8E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BBA"/>
    <w:rsid w:val="003D66AE"/>
    <w:rsid w:val="003D68FF"/>
    <w:rsid w:val="003D6FDE"/>
    <w:rsid w:val="003D7B68"/>
    <w:rsid w:val="003E6047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B5FFD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1890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747A6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0A51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0361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229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0F9F"/>
    <w:rsid w:val="00C843F8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EN/TXT/PDF/?uri=OJ:L:2016:106:FULL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5EA-E9D5-4344-8E18-0B836CA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2016-04-04T19:44:00Z</cp:lastPrinted>
  <dcterms:created xsi:type="dcterms:W3CDTF">2016-05-11T12:56:00Z</dcterms:created>
  <dcterms:modified xsi:type="dcterms:W3CDTF">2016-05-11T13:00:00Z</dcterms:modified>
</cp:coreProperties>
</file>