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031D0E"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031D0E" w:rsidTr="003C68D5">
              <w:trPr>
                <w:trHeight w:val="14580"/>
              </w:trPr>
              <w:tc>
                <w:tcPr>
                  <w:tcW w:w="9270" w:type="dxa"/>
                </w:tcPr>
                <w:p w:rsidR="00430103" w:rsidRPr="00430103" w:rsidRDefault="00430103" w:rsidP="00430103">
                  <w:pPr>
                    <w:pStyle w:val="Default"/>
                    <w:jc w:val="both"/>
                    <w:rPr>
                      <w:rFonts w:ascii="Arial" w:hAnsi="Arial" w:cs="Arial"/>
                    </w:rPr>
                  </w:pPr>
                </w:p>
                <w:p w:rsidR="00430103" w:rsidRPr="00430103" w:rsidRDefault="0013483B" w:rsidP="00430103">
                  <w:pPr>
                    <w:pStyle w:val="Default"/>
                    <w:jc w:val="both"/>
                    <w:rPr>
                      <w:rFonts w:ascii="Arial" w:hAnsi="Arial" w:cs="Arial"/>
                    </w:rPr>
                  </w:pPr>
                  <w:r>
                    <w:rPr>
                      <w:rFonts w:ascii="Arial" w:hAnsi="Arial" w:cs="Arial"/>
                    </w:rPr>
                    <w:t>24</w:t>
                  </w:r>
                  <w:r w:rsidR="00B1460A">
                    <w:rPr>
                      <w:rFonts w:ascii="Arial" w:hAnsi="Arial" w:cs="Arial"/>
                    </w:rPr>
                    <w:t>/</w:t>
                  </w:r>
                  <w:r>
                    <w:rPr>
                      <w:rFonts w:ascii="Arial" w:hAnsi="Arial" w:cs="Arial"/>
                    </w:rPr>
                    <w:t>10</w:t>
                  </w:r>
                  <w:r w:rsidR="001E60A4" w:rsidRPr="00430103">
                    <w:rPr>
                      <w:rFonts w:ascii="Arial" w:hAnsi="Arial" w:cs="Arial"/>
                    </w:rPr>
                    <w:t xml:space="preserve">/2016 </w:t>
                  </w:r>
                </w:p>
                <w:p w:rsidR="00430103" w:rsidRPr="00430103" w:rsidRDefault="00430103" w:rsidP="00430103">
                  <w:pPr>
                    <w:pStyle w:val="Default"/>
                    <w:jc w:val="both"/>
                    <w:rPr>
                      <w:rFonts w:ascii="Arial" w:hAnsi="Arial" w:cs="Arial"/>
                    </w:rPr>
                  </w:pPr>
                </w:p>
                <w:p w:rsidR="00180AC3" w:rsidRPr="00180AC3" w:rsidRDefault="00B1460A" w:rsidP="00180AC3">
                  <w:pPr>
                    <w:pStyle w:val="Default"/>
                    <w:jc w:val="center"/>
                    <w:rPr>
                      <w:b/>
                      <w:sz w:val="28"/>
                      <w:szCs w:val="28"/>
                    </w:rPr>
                  </w:pPr>
                  <w:r w:rsidRPr="00180AC3">
                    <w:rPr>
                      <w:b/>
                      <w:sz w:val="28"/>
                      <w:szCs w:val="28"/>
                    </w:rPr>
                    <w:t>Iran (Nuclear Proliferation)</w:t>
                  </w:r>
                </w:p>
                <w:p w:rsidR="00180AC3" w:rsidRDefault="00180AC3" w:rsidP="00180AC3">
                  <w:pPr>
                    <w:pStyle w:val="Default"/>
                    <w:jc w:val="both"/>
                  </w:pPr>
                </w:p>
                <w:p w:rsidR="00180AC3" w:rsidRPr="00180AC3" w:rsidRDefault="00B1460A" w:rsidP="00180AC3">
                  <w:pPr>
                    <w:pStyle w:val="Default"/>
                    <w:jc w:val="both"/>
                    <w:rPr>
                      <w:b/>
                    </w:rPr>
                  </w:pPr>
                  <w:r w:rsidRPr="00180AC3">
                    <w:rPr>
                      <w:b/>
                    </w:rPr>
                    <w:t xml:space="preserve">Introduction </w:t>
                  </w:r>
                </w:p>
                <w:p w:rsidR="00180AC3" w:rsidRDefault="00180AC3" w:rsidP="00180AC3">
                  <w:pPr>
                    <w:pStyle w:val="Default"/>
                    <w:jc w:val="both"/>
                  </w:pPr>
                </w:p>
                <w:p w:rsidR="00180AC3" w:rsidRDefault="0013483B" w:rsidP="0013483B">
                  <w:pPr>
                    <w:pStyle w:val="Default"/>
                    <w:numPr>
                      <w:ilvl w:val="0"/>
                      <w:numId w:val="44"/>
                    </w:numPr>
                    <w:jc w:val="both"/>
                  </w:pPr>
                  <w:r>
                    <w:t>Council Regulation (EU) 267/2012 (“the Regulation”) imposing financial sanctions against Iran (Nuclear Proliferation) has been amended so that an asset freeze no longer applies to the entities listed in the Annex to this Notice.</w:t>
                  </w:r>
                </w:p>
                <w:p w:rsidR="0013483B" w:rsidRDefault="0013483B" w:rsidP="0013483B">
                  <w:pPr>
                    <w:pStyle w:val="Default"/>
                    <w:jc w:val="both"/>
                  </w:pPr>
                </w:p>
                <w:p w:rsidR="00180AC3" w:rsidRPr="007331EC" w:rsidRDefault="00B1460A" w:rsidP="00180AC3">
                  <w:pPr>
                    <w:pStyle w:val="Default"/>
                    <w:ind w:hanging="270"/>
                    <w:jc w:val="both"/>
                    <w:rPr>
                      <w:b/>
                    </w:rPr>
                  </w:pPr>
                  <w:proofErr w:type="spellStart"/>
                  <w:r w:rsidRPr="007331EC">
                    <w:rPr>
                      <w:b/>
                    </w:rPr>
                    <w:t>N</w:t>
                  </w:r>
                  <w:r w:rsidR="00342FCB" w:rsidRPr="007331EC">
                    <w:rPr>
                      <w:b/>
                    </w:rPr>
                    <w:t>N</w:t>
                  </w:r>
                  <w:r w:rsidR="007331EC" w:rsidRPr="007331EC">
                    <w:rPr>
                      <w:b/>
                    </w:rPr>
                    <w:t>otice</w:t>
                  </w:r>
                  <w:proofErr w:type="spellEnd"/>
                  <w:r w:rsidR="007331EC" w:rsidRPr="007331EC">
                    <w:rPr>
                      <w:b/>
                    </w:rPr>
                    <w:t xml:space="preserve"> summary</w:t>
                  </w:r>
                  <w:r w:rsidR="007331EC">
                    <w:rPr>
                      <w:b/>
                    </w:rPr>
                    <w:t xml:space="preserve"> </w:t>
                  </w:r>
                  <w:r w:rsidR="007331EC" w:rsidRPr="007331EC">
                    <w:rPr>
                      <w:b/>
                    </w:rPr>
                    <w:t>(Full details are provided in the Annex to this Notice)</w:t>
                  </w:r>
                </w:p>
                <w:p w:rsidR="00180AC3" w:rsidRDefault="00180AC3" w:rsidP="00180AC3">
                  <w:pPr>
                    <w:pStyle w:val="Default"/>
                    <w:jc w:val="both"/>
                  </w:pPr>
                </w:p>
                <w:p w:rsidR="0013483B" w:rsidRDefault="0013483B" w:rsidP="0013483B">
                  <w:pPr>
                    <w:pStyle w:val="Default"/>
                    <w:numPr>
                      <w:ilvl w:val="0"/>
                      <w:numId w:val="44"/>
                    </w:numPr>
                    <w:jc w:val="both"/>
                  </w:pPr>
                  <w:r>
                    <w:t xml:space="preserve">The following entries have been removed from the consolidated list and are no longer subject to an asset freeze. </w:t>
                  </w:r>
                </w:p>
                <w:p w:rsidR="0013483B" w:rsidRDefault="0013483B" w:rsidP="0013483B">
                  <w:pPr>
                    <w:pStyle w:val="Default"/>
                    <w:ind w:left="720"/>
                    <w:jc w:val="both"/>
                  </w:pPr>
                </w:p>
                <w:p w:rsidR="00812FB0" w:rsidRDefault="00812FB0" w:rsidP="0013483B">
                  <w:pPr>
                    <w:pStyle w:val="Default"/>
                    <w:ind w:left="720"/>
                    <w:jc w:val="both"/>
                  </w:pPr>
                  <w:r>
                    <w:t xml:space="preserve">   </w:t>
                  </w:r>
                  <w:r w:rsidR="0013483B">
                    <w:t xml:space="preserve"> </w:t>
                  </w:r>
                  <w:r w:rsidR="0013483B">
                    <w:sym w:font="Symbol" w:char="F0B7"/>
                  </w:r>
                  <w:r w:rsidR="0013483B">
                    <w:t xml:space="preserve"> Bank </w:t>
                  </w:r>
                  <w:proofErr w:type="spellStart"/>
                  <w:r w:rsidR="0013483B">
                    <w:t>Saderat</w:t>
                  </w:r>
                  <w:proofErr w:type="spellEnd"/>
                  <w:r w:rsidR="0013483B">
                    <w:t xml:space="preserve"> Iran (Group ID: 11185)</w:t>
                  </w:r>
                </w:p>
                <w:p w:rsidR="0013483B" w:rsidRDefault="0013483B" w:rsidP="0013483B">
                  <w:pPr>
                    <w:pStyle w:val="Default"/>
                    <w:ind w:left="720"/>
                    <w:jc w:val="both"/>
                  </w:pPr>
                  <w:r>
                    <w:t xml:space="preserve"> </w:t>
                  </w:r>
                </w:p>
                <w:p w:rsidR="00180AC3" w:rsidRDefault="0013483B" w:rsidP="0013483B">
                  <w:pPr>
                    <w:pStyle w:val="Default"/>
                    <w:ind w:left="720"/>
                    <w:jc w:val="both"/>
                  </w:pPr>
                  <w:r>
                    <w:t xml:space="preserve">  </w:t>
                  </w:r>
                  <w:r w:rsidR="00812FB0">
                    <w:t xml:space="preserve"> </w:t>
                  </w:r>
                  <w:r>
                    <w:t xml:space="preserve"> </w:t>
                  </w:r>
                  <w:r>
                    <w:sym w:font="Symbol" w:char="F0B7"/>
                  </w:r>
                  <w:r>
                    <w:t xml:space="preserve"> Bank </w:t>
                  </w:r>
                  <w:proofErr w:type="spellStart"/>
                  <w:r>
                    <w:t>Saderat</w:t>
                  </w:r>
                  <w:proofErr w:type="spellEnd"/>
                  <w:r>
                    <w:t xml:space="preserve"> PLC (Group ID: 11268)</w:t>
                  </w:r>
                </w:p>
                <w:p w:rsidR="0013483B" w:rsidRDefault="0013483B" w:rsidP="0013483B">
                  <w:pPr>
                    <w:pStyle w:val="Default"/>
                    <w:ind w:left="720"/>
                    <w:jc w:val="both"/>
                  </w:pPr>
                </w:p>
                <w:p w:rsidR="0013483B" w:rsidRDefault="0013483B" w:rsidP="0013483B">
                  <w:pPr>
                    <w:pStyle w:val="Default"/>
                    <w:ind w:left="720"/>
                    <w:jc w:val="both"/>
                  </w:pPr>
                </w:p>
                <w:p w:rsidR="00180AC3" w:rsidRPr="00180AC3" w:rsidRDefault="00B1460A" w:rsidP="00180AC3">
                  <w:pPr>
                    <w:pStyle w:val="Default"/>
                    <w:jc w:val="both"/>
                    <w:rPr>
                      <w:b/>
                    </w:rPr>
                  </w:pPr>
                  <w:r w:rsidRPr="00180AC3">
                    <w:rPr>
                      <w:b/>
                    </w:rPr>
                    <w:t xml:space="preserve">Legislative Details </w:t>
                  </w:r>
                </w:p>
                <w:p w:rsidR="00180AC3" w:rsidRDefault="00180AC3" w:rsidP="00180AC3">
                  <w:pPr>
                    <w:pStyle w:val="Default"/>
                    <w:jc w:val="both"/>
                  </w:pPr>
                </w:p>
                <w:p w:rsidR="0013483B" w:rsidRDefault="0013483B" w:rsidP="0013483B">
                  <w:pPr>
                    <w:pStyle w:val="Default"/>
                    <w:numPr>
                      <w:ilvl w:val="0"/>
                      <w:numId w:val="44"/>
                    </w:numPr>
                    <w:jc w:val="both"/>
                  </w:pPr>
                  <w:r>
                    <w:t xml:space="preserve">On 20 April 2016 Council Implementing Regulation (EU) No 2016/603 (“the Amending Regulation”) was published in the Official Journal of the European Union (O.J. L 104, 20.4.2016, p.8) by the Council of the European Union. </w:t>
                  </w:r>
                </w:p>
                <w:p w:rsidR="0013483B" w:rsidRDefault="0013483B" w:rsidP="0013483B">
                  <w:pPr>
                    <w:pStyle w:val="Default"/>
                    <w:ind w:left="720"/>
                    <w:jc w:val="both"/>
                  </w:pPr>
                </w:p>
                <w:p w:rsidR="0013483B" w:rsidRDefault="0013483B" w:rsidP="0013483B">
                  <w:pPr>
                    <w:pStyle w:val="Default"/>
                    <w:numPr>
                      <w:ilvl w:val="0"/>
                      <w:numId w:val="44"/>
                    </w:numPr>
                    <w:jc w:val="both"/>
                  </w:pPr>
                  <w:r>
                    <w:t xml:space="preserve">The Amending Regulation amended the listings of Bank </w:t>
                  </w:r>
                  <w:proofErr w:type="spellStart"/>
                  <w:r>
                    <w:t>Saderat</w:t>
                  </w:r>
                  <w:proofErr w:type="spellEnd"/>
                  <w:r>
                    <w:t xml:space="preserve"> Iran and Bank </w:t>
                  </w:r>
                  <w:proofErr w:type="spellStart"/>
                  <w:r>
                    <w:t>Saderat</w:t>
                  </w:r>
                  <w:proofErr w:type="spellEnd"/>
                  <w:r>
                    <w:t xml:space="preserve"> PLC so that they would remain in force until 22 October 2016. As that date has now passed, Bank </w:t>
                  </w:r>
                  <w:proofErr w:type="spellStart"/>
                  <w:r>
                    <w:t>Saderat</w:t>
                  </w:r>
                  <w:proofErr w:type="spellEnd"/>
                  <w:r>
                    <w:t xml:space="preserve"> Iran and Bank </w:t>
                  </w:r>
                  <w:proofErr w:type="spellStart"/>
                  <w:r>
                    <w:t>Saderat</w:t>
                  </w:r>
                  <w:proofErr w:type="spellEnd"/>
                  <w:r>
                    <w:t xml:space="preserve"> PLC are no longer subject to the restrictive measures set out in the Regulation, including the asset freeze.</w:t>
                  </w:r>
                </w:p>
                <w:p w:rsidR="0013483B" w:rsidRDefault="0013483B" w:rsidP="0013483B">
                  <w:pPr>
                    <w:pStyle w:val="ListParagraph"/>
                  </w:pPr>
                </w:p>
                <w:p w:rsidR="0013483B" w:rsidRPr="0013483B" w:rsidRDefault="0013483B" w:rsidP="0013483B">
                  <w:pPr>
                    <w:pStyle w:val="Default"/>
                    <w:jc w:val="both"/>
                    <w:rPr>
                      <w:b/>
                    </w:rPr>
                  </w:pPr>
                  <w:r w:rsidRPr="0013483B">
                    <w:rPr>
                      <w:b/>
                    </w:rPr>
                    <w:t xml:space="preserve">Further Information </w:t>
                  </w:r>
                </w:p>
                <w:p w:rsidR="0013483B" w:rsidRDefault="0013483B" w:rsidP="0013483B">
                  <w:pPr>
                    <w:pStyle w:val="Default"/>
                    <w:jc w:val="both"/>
                  </w:pPr>
                </w:p>
                <w:p w:rsidR="0013483B" w:rsidRDefault="0013483B" w:rsidP="0013483B">
                  <w:pPr>
                    <w:pStyle w:val="Default"/>
                    <w:numPr>
                      <w:ilvl w:val="0"/>
                      <w:numId w:val="44"/>
                    </w:numPr>
                    <w:jc w:val="both"/>
                  </w:pPr>
                  <w:r>
                    <w:t>A copy of the Amending Regulation can be obtained from the website of the</w:t>
                  </w:r>
                </w:p>
                <w:p w:rsidR="0013483B" w:rsidRDefault="0013483B" w:rsidP="0013483B">
                  <w:pPr>
                    <w:pStyle w:val="Default"/>
                    <w:ind w:left="720"/>
                    <w:jc w:val="both"/>
                  </w:pPr>
                  <w:r>
                    <w:t xml:space="preserve">Official Journal of the European Union: http://eur-lex.europa.eu/legal-content/EN/TXT/PDF/?uri=CELEX:32016R0603&amp;from=EN </w:t>
                  </w:r>
                </w:p>
                <w:p w:rsidR="0013483B" w:rsidRDefault="0013483B" w:rsidP="0013483B">
                  <w:pPr>
                    <w:pStyle w:val="Default"/>
                    <w:ind w:left="720"/>
                    <w:jc w:val="both"/>
                  </w:pPr>
                </w:p>
                <w:p w:rsidR="0013483B" w:rsidRDefault="0013483B" w:rsidP="0013483B">
                  <w:pPr>
                    <w:pStyle w:val="Default"/>
                    <w:numPr>
                      <w:ilvl w:val="0"/>
                      <w:numId w:val="44"/>
                    </w:numPr>
                    <w:jc w:val="both"/>
                  </w:pPr>
                  <w:r>
                    <w:t>Copies of recent Notices, certain EU Regulations, UNSC Resolutions and UK</w:t>
                  </w:r>
                </w:p>
                <w:p w:rsidR="00FE32C7" w:rsidRDefault="0013483B" w:rsidP="0013483B">
                  <w:pPr>
                    <w:pStyle w:val="Default"/>
                    <w:ind w:left="720"/>
                    <w:jc w:val="both"/>
                  </w:pPr>
                  <w:r>
                    <w:t xml:space="preserve"> legislation can be obtained from the Iran (Nuclear Proliferation) financial sanctions page on the GOV.UK website: </w:t>
                  </w:r>
                  <w:hyperlink r:id="rId10" w:history="1">
                    <w:r w:rsidRPr="000E5195">
                      <w:rPr>
                        <w:rStyle w:val="Hyperlink"/>
                      </w:rPr>
                      <w:t>https://www.gov.uk/government/collections/financial-sanctions-regime-specificconsolidated-lists-and-releases</w:t>
                    </w:r>
                  </w:hyperlink>
                </w:p>
                <w:p w:rsidR="00FE32C7" w:rsidRDefault="00FE32C7" w:rsidP="0013483B">
                  <w:pPr>
                    <w:pStyle w:val="Default"/>
                    <w:ind w:left="720"/>
                    <w:jc w:val="both"/>
                  </w:pPr>
                </w:p>
                <w:p w:rsidR="0013483B" w:rsidRDefault="0013483B" w:rsidP="0013483B">
                  <w:pPr>
                    <w:pStyle w:val="Default"/>
                    <w:ind w:left="720"/>
                    <w:jc w:val="both"/>
                  </w:pPr>
                  <w:r>
                    <w:t xml:space="preserve"> </w:t>
                  </w:r>
                </w:p>
                <w:p w:rsidR="0013483B" w:rsidRDefault="0013483B" w:rsidP="0013483B">
                  <w:pPr>
                    <w:pStyle w:val="Default"/>
                    <w:numPr>
                      <w:ilvl w:val="0"/>
                      <w:numId w:val="44"/>
                    </w:numPr>
                    <w:jc w:val="both"/>
                  </w:pPr>
                  <w:r>
                    <w:t>Further details on the UN measures in respect of Iran (Nuclear Proliferation)</w:t>
                  </w:r>
                </w:p>
                <w:p w:rsidR="0013483B" w:rsidRDefault="0013483B" w:rsidP="0013483B">
                  <w:pPr>
                    <w:pStyle w:val="Default"/>
                    <w:ind w:left="720"/>
                    <w:jc w:val="both"/>
                  </w:pPr>
                  <w:r>
                    <w:t xml:space="preserve"> </w:t>
                  </w:r>
                  <w:proofErr w:type="gramStart"/>
                  <w:r>
                    <w:t>can</w:t>
                  </w:r>
                  <w:proofErr w:type="gramEnd"/>
                  <w:r>
                    <w:t xml:space="preserve"> be found on the relevant UN Sanctions Committee webpage: </w:t>
                  </w:r>
                  <w:hyperlink r:id="rId11" w:history="1">
                    <w:r w:rsidRPr="000E5195">
                      <w:rPr>
                        <w:rStyle w:val="Hyperlink"/>
                      </w:rPr>
                      <w:t>http://www.un.org/sc/committees</w:t>
                    </w:r>
                  </w:hyperlink>
                  <w:r>
                    <w:t xml:space="preserve">. </w:t>
                  </w:r>
                </w:p>
                <w:p w:rsidR="0013483B" w:rsidRDefault="0013483B" w:rsidP="0013483B">
                  <w:pPr>
                    <w:pStyle w:val="Default"/>
                    <w:ind w:left="720"/>
                    <w:jc w:val="both"/>
                  </w:pPr>
                </w:p>
                <w:p w:rsidR="0013483B" w:rsidRDefault="0013483B" w:rsidP="0013483B">
                  <w:pPr>
                    <w:pStyle w:val="Default"/>
                    <w:numPr>
                      <w:ilvl w:val="0"/>
                      <w:numId w:val="44"/>
                    </w:numPr>
                    <w:jc w:val="both"/>
                  </w:pPr>
                  <w:r>
                    <w:t>Please note there are also import and export restrictions on Iran (Nuclear</w:t>
                  </w:r>
                </w:p>
                <w:p w:rsidR="0013483B" w:rsidRDefault="0013483B" w:rsidP="0013483B">
                  <w:pPr>
                    <w:pStyle w:val="Default"/>
                    <w:ind w:left="720"/>
                    <w:jc w:val="both"/>
                  </w:pPr>
                  <w:r>
                    <w:t xml:space="preserve"> Proliferation). Further guidance on export and trade sanctions is available from the GOV.UK website: https://www.gov.uk/sanctions-embargoes-and-restrictions. </w:t>
                  </w:r>
                </w:p>
                <w:p w:rsidR="0013483B" w:rsidRDefault="0013483B" w:rsidP="0013483B">
                  <w:pPr>
                    <w:pStyle w:val="Default"/>
                    <w:ind w:left="720"/>
                    <w:jc w:val="both"/>
                  </w:pPr>
                </w:p>
                <w:p w:rsidR="00FE32C7" w:rsidRDefault="0013483B" w:rsidP="00FE32C7">
                  <w:pPr>
                    <w:pStyle w:val="Default"/>
                    <w:numPr>
                      <w:ilvl w:val="0"/>
                      <w:numId w:val="44"/>
                    </w:numPr>
                    <w:jc w:val="both"/>
                  </w:pPr>
                  <w:r>
                    <w:t>For more information please see our guide to financial sanctions:</w:t>
                  </w:r>
                </w:p>
                <w:p w:rsidR="0013483B" w:rsidRDefault="0013483B" w:rsidP="0013483B">
                  <w:pPr>
                    <w:pStyle w:val="Default"/>
                    <w:ind w:left="720"/>
                    <w:jc w:val="both"/>
                  </w:pPr>
                  <w:r>
                    <w:t xml:space="preserve"> https://www.gov.uk/government/publications/financial-sanctions-faqs</w:t>
                  </w:r>
                </w:p>
                <w:p w:rsidR="0013483B" w:rsidRDefault="0013483B" w:rsidP="0013483B">
                  <w:pPr>
                    <w:pStyle w:val="ListParagraph"/>
                  </w:pPr>
                </w:p>
                <w:p w:rsidR="00062AAF" w:rsidRPr="00430103" w:rsidRDefault="00062AAF" w:rsidP="00E74027">
                  <w:pPr>
                    <w:pStyle w:val="Default"/>
                    <w:jc w:val="both"/>
                    <w:rPr>
                      <w:rFonts w:ascii="Arial" w:hAnsi="Arial" w:cs="Arial"/>
                      <w:b/>
                      <w:bCs/>
                      <w:color w:val="auto"/>
                    </w:rPr>
                  </w:pPr>
                  <w:r w:rsidRPr="00430103">
                    <w:rPr>
                      <w:rFonts w:ascii="Arial" w:hAnsi="Arial" w:cs="Arial"/>
                      <w:b/>
                      <w:bCs/>
                      <w:color w:val="auto"/>
                    </w:rPr>
                    <w:t>Enquiries</w:t>
                  </w:r>
                </w:p>
                <w:p w:rsidR="00062AAF" w:rsidRPr="00430103" w:rsidRDefault="00062AAF" w:rsidP="00062AAF">
                  <w:pPr>
                    <w:pStyle w:val="Default"/>
                    <w:jc w:val="both"/>
                    <w:rPr>
                      <w:rFonts w:ascii="Arial" w:hAnsi="Arial" w:cs="Arial"/>
                      <w:b/>
                      <w:bCs/>
                      <w:color w:val="auto"/>
                    </w:rPr>
                  </w:pPr>
                </w:p>
                <w:p w:rsidR="00062AAF" w:rsidRPr="00430103" w:rsidRDefault="00062AAF" w:rsidP="00E74027">
                  <w:pPr>
                    <w:pStyle w:val="ListParagraph"/>
                    <w:numPr>
                      <w:ilvl w:val="0"/>
                      <w:numId w:val="44"/>
                    </w:numPr>
                    <w:spacing w:after="0" w:line="240" w:lineRule="auto"/>
                    <w:ind w:right="-90"/>
                    <w:jc w:val="both"/>
                    <w:rPr>
                      <w:rFonts w:ascii="Arial" w:hAnsi="Arial" w:cs="Arial"/>
                      <w:sz w:val="24"/>
                      <w:szCs w:val="24"/>
                    </w:rPr>
                  </w:pPr>
                  <w:r w:rsidRPr="00430103">
                    <w:rPr>
                      <w:rFonts w:ascii="Arial" w:hAnsi="Arial" w:cs="Arial"/>
                      <w:sz w:val="24"/>
                      <w:szCs w:val="24"/>
                    </w:rPr>
                    <w:t>Non-media enquiries should be addressed to:</w:t>
                  </w:r>
                </w:p>
                <w:p w:rsidR="00062AAF" w:rsidRPr="00430103" w:rsidRDefault="00062AAF" w:rsidP="00062AAF">
                  <w:pPr>
                    <w:pStyle w:val="Default"/>
                    <w:ind w:left="900"/>
                    <w:jc w:val="both"/>
                    <w:rPr>
                      <w:rFonts w:ascii="Arial" w:hAnsi="Arial" w:cs="Arial"/>
                      <w:b/>
                      <w:bCs/>
                      <w:color w:val="auto"/>
                    </w:rPr>
                  </w:pPr>
                </w:p>
                <w:p w:rsidR="00062AAF" w:rsidRPr="00430103"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30103">
                    <w:rPr>
                      <w:rFonts w:ascii="Arial" w:hAnsi="Arial" w:cs="Arial"/>
                      <w:color w:val="000000" w:themeColor="text1"/>
                      <w:sz w:val="24"/>
                      <w:szCs w:val="24"/>
                    </w:rPr>
                    <w:t>Her Excellency, the Governor</w:t>
                  </w:r>
                </w:p>
                <w:p w:rsidR="00062AAF" w:rsidRPr="00430103"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30103">
                    <w:rPr>
                      <w:rFonts w:ascii="Arial" w:hAnsi="Arial" w:cs="Arial"/>
                      <w:color w:val="000000" w:themeColor="text1"/>
                      <w:sz w:val="24"/>
                      <w:szCs w:val="24"/>
                    </w:rPr>
                    <w:t>The Governor’s Office</w:t>
                  </w:r>
                </w:p>
                <w:p w:rsidR="00062AAF" w:rsidRPr="00430103"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30103">
                    <w:rPr>
                      <w:rFonts w:ascii="Arial" w:hAnsi="Arial" w:cs="Arial"/>
                      <w:color w:val="000000" w:themeColor="text1"/>
                      <w:sz w:val="24"/>
                      <w:szCs w:val="24"/>
                    </w:rPr>
                    <w:t>#8 Farara Plaza</w:t>
                  </w:r>
                </w:p>
                <w:p w:rsidR="00062AAF" w:rsidRPr="00430103"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30103">
                    <w:rPr>
                      <w:rFonts w:ascii="Arial" w:hAnsi="Arial" w:cs="Arial"/>
                      <w:color w:val="000000" w:themeColor="text1"/>
                      <w:sz w:val="24"/>
                      <w:szCs w:val="24"/>
                    </w:rPr>
                    <w:t>Brades, MSR1110</w:t>
                  </w:r>
                </w:p>
                <w:p w:rsidR="00062AAF" w:rsidRPr="00430103"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30103">
                    <w:rPr>
                      <w:rFonts w:ascii="Arial" w:hAnsi="Arial" w:cs="Arial"/>
                      <w:color w:val="000000" w:themeColor="text1"/>
                      <w:sz w:val="24"/>
                      <w:szCs w:val="24"/>
                    </w:rPr>
                    <w:t>Montserrat</w:t>
                  </w:r>
                </w:p>
                <w:p w:rsidR="00062AAF" w:rsidRPr="00430103" w:rsidRDefault="00062AAF" w:rsidP="00062AAF">
                  <w:pPr>
                    <w:pStyle w:val="ListParagraph"/>
                    <w:tabs>
                      <w:tab w:val="left" w:pos="702"/>
                    </w:tabs>
                    <w:spacing w:after="0" w:line="240" w:lineRule="auto"/>
                    <w:ind w:right="-90"/>
                    <w:jc w:val="both"/>
                    <w:rPr>
                      <w:rFonts w:ascii="Arial" w:hAnsi="Arial" w:cs="Arial"/>
                      <w:sz w:val="24"/>
                      <w:szCs w:val="24"/>
                    </w:rPr>
                  </w:pPr>
                  <w:r w:rsidRPr="00430103">
                    <w:rPr>
                      <w:rFonts w:ascii="Arial" w:hAnsi="Arial" w:cs="Arial"/>
                      <w:sz w:val="24"/>
                      <w:szCs w:val="24"/>
                    </w:rPr>
                    <w:t xml:space="preserve">Email: </w:t>
                  </w:r>
                  <w:hyperlink r:id="rId12" w:history="1">
                    <w:r w:rsidRPr="00430103">
                      <w:rPr>
                        <w:rStyle w:val="Hyperlink"/>
                        <w:rFonts w:ascii="Arial" w:hAnsi="Arial" w:cs="Arial"/>
                        <w:sz w:val="24"/>
                        <w:szCs w:val="24"/>
                      </w:rPr>
                      <w:t>Tony.Bates@fco.gsi.gov.uk</w:t>
                    </w:r>
                  </w:hyperlink>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Default="00E74027" w:rsidP="00062AAF">
                  <w:pPr>
                    <w:pStyle w:val="ListParagraph"/>
                    <w:tabs>
                      <w:tab w:val="left" w:pos="702"/>
                    </w:tabs>
                    <w:spacing w:after="0" w:line="240" w:lineRule="auto"/>
                    <w:ind w:right="-90"/>
                    <w:jc w:val="both"/>
                    <w:rPr>
                      <w:rFonts w:ascii="Arial" w:hAnsi="Arial" w:cs="Arial"/>
                      <w:sz w:val="24"/>
                      <w:szCs w:val="24"/>
                    </w:rPr>
                  </w:pPr>
                </w:p>
                <w:p w:rsidR="00E74027" w:rsidRPr="00430103" w:rsidRDefault="00E74027" w:rsidP="00062AAF">
                  <w:pPr>
                    <w:pStyle w:val="ListParagraph"/>
                    <w:tabs>
                      <w:tab w:val="left" w:pos="702"/>
                    </w:tabs>
                    <w:spacing w:after="0" w:line="240" w:lineRule="auto"/>
                    <w:ind w:right="-90"/>
                    <w:jc w:val="both"/>
                    <w:rPr>
                      <w:rFonts w:ascii="Arial" w:hAnsi="Arial" w:cs="Arial"/>
                      <w:sz w:val="24"/>
                      <w:szCs w:val="24"/>
                    </w:rPr>
                  </w:pPr>
                </w:p>
                <w:p w:rsidR="006D232D" w:rsidRPr="00430103" w:rsidRDefault="006D232D" w:rsidP="00062AAF">
                  <w:pPr>
                    <w:pStyle w:val="ListParagraph"/>
                    <w:tabs>
                      <w:tab w:val="left" w:pos="702"/>
                    </w:tabs>
                    <w:spacing w:after="0" w:line="240" w:lineRule="auto"/>
                    <w:ind w:right="-90"/>
                    <w:jc w:val="both"/>
                    <w:rPr>
                      <w:rFonts w:ascii="Arial" w:hAnsi="Arial" w:cs="Arial"/>
                      <w:sz w:val="24"/>
                      <w:szCs w:val="24"/>
                    </w:rPr>
                  </w:pPr>
                </w:p>
                <w:p w:rsidR="00031D0E" w:rsidRPr="00FE32C7" w:rsidRDefault="00031D0E" w:rsidP="00016CE5">
                  <w:pPr>
                    <w:spacing w:after="0" w:line="240" w:lineRule="auto"/>
                    <w:ind w:left="-108" w:right="-90"/>
                    <w:jc w:val="both"/>
                    <w:rPr>
                      <w:rFonts w:ascii="Arial" w:hAnsi="Arial" w:cs="Arial"/>
                      <w:b/>
                      <w:sz w:val="28"/>
                      <w:szCs w:val="28"/>
                    </w:rPr>
                  </w:pPr>
                  <w:r w:rsidRPr="00FE32C7">
                    <w:rPr>
                      <w:rFonts w:ascii="Arial" w:hAnsi="Arial" w:cs="Arial"/>
                      <w:b/>
                      <w:sz w:val="28"/>
                      <w:szCs w:val="28"/>
                    </w:rPr>
                    <w:t xml:space="preserve">Financial Services Commission  </w:t>
                  </w:r>
                </w:p>
                <w:p w:rsidR="002C6730" w:rsidRPr="00FE32C7" w:rsidRDefault="00E74027" w:rsidP="00016CE5">
                  <w:pPr>
                    <w:spacing w:after="0" w:line="240" w:lineRule="auto"/>
                    <w:ind w:left="-108" w:right="-90"/>
                    <w:jc w:val="both"/>
                    <w:rPr>
                      <w:rFonts w:ascii="Arial" w:hAnsi="Arial" w:cs="Arial"/>
                      <w:sz w:val="28"/>
                      <w:szCs w:val="28"/>
                    </w:rPr>
                  </w:pPr>
                  <w:r w:rsidRPr="00FE32C7">
                    <w:rPr>
                      <w:rFonts w:ascii="Arial" w:hAnsi="Arial" w:cs="Arial"/>
                      <w:b/>
                      <w:sz w:val="28"/>
                      <w:szCs w:val="28"/>
                    </w:rPr>
                    <w:t>24</w:t>
                  </w:r>
                  <w:r w:rsidR="00031D0E" w:rsidRPr="00FE32C7">
                    <w:rPr>
                      <w:rFonts w:ascii="Arial" w:hAnsi="Arial" w:cs="Arial"/>
                      <w:b/>
                      <w:sz w:val="28"/>
                      <w:szCs w:val="28"/>
                    </w:rPr>
                    <w:t>/</w:t>
                  </w:r>
                  <w:r w:rsidRPr="00FE32C7">
                    <w:rPr>
                      <w:rFonts w:ascii="Arial" w:hAnsi="Arial" w:cs="Arial"/>
                      <w:b/>
                      <w:sz w:val="28"/>
                      <w:szCs w:val="28"/>
                    </w:rPr>
                    <w:t>10</w:t>
                  </w:r>
                  <w:r w:rsidR="00031D0E" w:rsidRPr="00FE32C7">
                    <w:rPr>
                      <w:rFonts w:ascii="Arial" w:hAnsi="Arial" w:cs="Arial"/>
                      <w:b/>
                      <w:sz w:val="28"/>
                      <w:szCs w:val="28"/>
                    </w:rPr>
                    <w:t>/2016</w:t>
                  </w:r>
                </w:p>
                <w:p w:rsidR="002C6730" w:rsidRPr="00FE32C7" w:rsidRDefault="002C6730" w:rsidP="008C0A51">
                  <w:pPr>
                    <w:pStyle w:val="Default"/>
                    <w:rPr>
                      <w:rFonts w:ascii="Arial" w:hAnsi="Arial" w:cs="Arial"/>
                      <w:sz w:val="28"/>
                      <w:szCs w:val="28"/>
                    </w:rPr>
                  </w:pPr>
                </w:p>
                <w:p w:rsidR="007344C7" w:rsidRPr="00FE32C7" w:rsidRDefault="007344C7" w:rsidP="007344C7">
                  <w:pPr>
                    <w:pStyle w:val="Default"/>
                    <w:jc w:val="center"/>
                    <w:rPr>
                      <w:b/>
                      <w:sz w:val="28"/>
                      <w:szCs w:val="28"/>
                    </w:rPr>
                  </w:pPr>
                </w:p>
                <w:p w:rsidR="007344C7" w:rsidRPr="00FE32C7" w:rsidRDefault="007344C7" w:rsidP="002E6147">
                  <w:pPr>
                    <w:pStyle w:val="Default"/>
                    <w:jc w:val="both"/>
                    <w:rPr>
                      <w:b/>
                      <w:sz w:val="28"/>
                      <w:szCs w:val="28"/>
                    </w:rPr>
                  </w:pPr>
                </w:p>
                <w:p w:rsidR="00E74027" w:rsidRPr="00FE32C7" w:rsidRDefault="00E74027" w:rsidP="00E74027">
                  <w:pPr>
                    <w:pStyle w:val="Default"/>
                    <w:jc w:val="center"/>
                    <w:rPr>
                      <w:b/>
                      <w:sz w:val="28"/>
                      <w:szCs w:val="28"/>
                    </w:rPr>
                  </w:pPr>
                  <w:r w:rsidRPr="00FE32C7">
                    <w:rPr>
                      <w:b/>
                      <w:sz w:val="28"/>
                      <w:szCs w:val="28"/>
                    </w:rPr>
                    <w:t>ANNEX TO NOTICE</w:t>
                  </w:r>
                </w:p>
                <w:p w:rsidR="00E74027" w:rsidRPr="00FE32C7" w:rsidRDefault="00E74027" w:rsidP="00E74027">
                  <w:pPr>
                    <w:pStyle w:val="Default"/>
                    <w:jc w:val="center"/>
                    <w:rPr>
                      <w:b/>
                      <w:sz w:val="28"/>
                      <w:szCs w:val="28"/>
                    </w:rPr>
                  </w:pPr>
                </w:p>
                <w:p w:rsidR="00E74027" w:rsidRPr="00FE32C7" w:rsidRDefault="00E74027" w:rsidP="00E74027">
                  <w:pPr>
                    <w:pStyle w:val="Default"/>
                    <w:jc w:val="center"/>
                    <w:rPr>
                      <w:b/>
                      <w:sz w:val="28"/>
                      <w:szCs w:val="28"/>
                    </w:rPr>
                  </w:pPr>
                  <w:r w:rsidRPr="00FE32C7">
                    <w:rPr>
                      <w:b/>
                      <w:sz w:val="28"/>
                      <w:szCs w:val="28"/>
                    </w:rPr>
                    <w:t>FINANCIAL SANCTIONS:</w:t>
                  </w:r>
                </w:p>
                <w:p w:rsidR="00E74027" w:rsidRPr="00FE32C7" w:rsidRDefault="00E74027" w:rsidP="00E74027">
                  <w:pPr>
                    <w:pStyle w:val="Default"/>
                    <w:jc w:val="center"/>
                    <w:rPr>
                      <w:b/>
                      <w:sz w:val="28"/>
                      <w:szCs w:val="28"/>
                    </w:rPr>
                  </w:pPr>
                </w:p>
                <w:p w:rsidR="00E74027" w:rsidRPr="00FE32C7" w:rsidRDefault="00E74027" w:rsidP="00E74027">
                  <w:pPr>
                    <w:pStyle w:val="Default"/>
                    <w:jc w:val="center"/>
                    <w:rPr>
                      <w:b/>
                      <w:sz w:val="28"/>
                      <w:szCs w:val="28"/>
                    </w:rPr>
                  </w:pPr>
                  <w:r w:rsidRPr="00FE32C7">
                    <w:rPr>
                      <w:b/>
                      <w:sz w:val="28"/>
                      <w:szCs w:val="28"/>
                    </w:rPr>
                    <w:t>COUNCIL IMPLEMENTING REGULATION (EU) No 2016/603</w:t>
                  </w:r>
                </w:p>
                <w:p w:rsidR="00E74027" w:rsidRPr="00FE32C7" w:rsidRDefault="00E74027" w:rsidP="00E74027">
                  <w:pPr>
                    <w:pStyle w:val="Default"/>
                    <w:jc w:val="center"/>
                    <w:rPr>
                      <w:b/>
                      <w:sz w:val="28"/>
                      <w:szCs w:val="28"/>
                    </w:rPr>
                  </w:pPr>
                </w:p>
                <w:p w:rsidR="00E74027" w:rsidRPr="00FE32C7" w:rsidRDefault="00E74027" w:rsidP="00E74027">
                  <w:pPr>
                    <w:pStyle w:val="Default"/>
                    <w:jc w:val="center"/>
                    <w:rPr>
                      <w:b/>
                      <w:sz w:val="28"/>
                      <w:szCs w:val="28"/>
                    </w:rPr>
                  </w:pPr>
                  <w:r w:rsidRPr="00FE32C7">
                    <w:rPr>
                      <w:b/>
                      <w:sz w:val="28"/>
                      <w:szCs w:val="28"/>
                    </w:rPr>
                    <w:t>AMENDING ANNEX IX TO COUNCIL REGULATION (EU) No 267/2012</w:t>
                  </w:r>
                </w:p>
                <w:p w:rsidR="00E74027" w:rsidRPr="00FE32C7" w:rsidRDefault="00E74027" w:rsidP="008C0A51">
                  <w:pPr>
                    <w:pStyle w:val="Default"/>
                    <w:rPr>
                      <w:sz w:val="28"/>
                      <w:szCs w:val="28"/>
                    </w:rPr>
                  </w:pPr>
                </w:p>
                <w:p w:rsidR="00E74027" w:rsidRPr="00FE32C7" w:rsidRDefault="00E74027" w:rsidP="008C0A51">
                  <w:pPr>
                    <w:pStyle w:val="Default"/>
                    <w:rPr>
                      <w:b/>
                      <w:sz w:val="28"/>
                      <w:szCs w:val="28"/>
                    </w:rPr>
                  </w:pPr>
                  <w:r w:rsidRPr="00FE32C7">
                    <w:rPr>
                      <w:b/>
                      <w:sz w:val="28"/>
                      <w:szCs w:val="28"/>
                    </w:rPr>
                    <w:t xml:space="preserve">DELISTING </w:t>
                  </w:r>
                </w:p>
                <w:p w:rsidR="00E74027" w:rsidRPr="00FE32C7" w:rsidRDefault="00E74027" w:rsidP="008C0A51">
                  <w:pPr>
                    <w:pStyle w:val="Default"/>
                    <w:rPr>
                      <w:b/>
                      <w:sz w:val="28"/>
                      <w:szCs w:val="28"/>
                    </w:rPr>
                  </w:pPr>
                </w:p>
                <w:p w:rsidR="00E74027" w:rsidRPr="00FE32C7" w:rsidRDefault="00E74027" w:rsidP="008C0A51">
                  <w:pPr>
                    <w:pStyle w:val="Default"/>
                    <w:rPr>
                      <w:b/>
                      <w:sz w:val="28"/>
                      <w:szCs w:val="28"/>
                      <w:u w:val="single"/>
                    </w:rPr>
                  </w:pPr>
                  <w:r w:rsidRPr="00FE32C7">
                    <w:rPr>
                      <w:b/>
                      <w:sz w:val="28"/>
                      <w:szCs w:val="28"/>
                      <w:u w:val="single"/>
                    </w:rPr>
                    <w:t>Entities</w:t>
                  </w:r>
                </w:p>
                <w:p w:rsidR="00E74027" w:rsidRPr="00FE32C7" w:rsidRDefault="00E74027" w:rsidP="008C0A51">
                  <w:pPr>
                    <w:pStyle w:val="Default"/>
                    <w:rPr>
                      <w:b/>
                      <w:sz w:val="28"/>
                      <w:szCs w:val="28"/>
                    </w:rPr>
                  </w:pPr>
                </w:p>
                <w:p w:rsidR="00E74027" w:rsidRPr="00FE32C7" w:rsidRDefault="00E74027" w:rsidP="00E74027">
                  <w:pPr>
                    <w:pStyle w:val="Default"/>
                    <w:numPr>
                      <w:ilvl w:val="0"/>
                      <w:numId w:val="45"/>
                    </w:numPr>
                    <w:rPr>
                      <w:b/>
                      <w:sz w:val="28"/>
                      <w:szCs w:val="28"/>
                    </w:rPr>
                  </w:pPr>
                  <w:r w:rsidRPr="00FE32C7">
                    <w:rPr>
                      <w:b/>
                      <w:sz w:val="28"/>
                      <w:szCs w:val="28"/>
                    </w:rPr>
                    <w:t>BANK SADERAT IRAN</w:t>
                  </w:r>
                </w:p>
                <w:p w:rsidR="00E74027" w:rsidRPr="00FE32C7" w:rsidRDefault="00E74027" w:rsidP="00E74027">
                  <w:pPr>
                    <w:pStyle w:val="Default"/>
                    <w:ind w:left="405"/>
                    <w:rPr>
                      <w:rFonts w:ascii="Arial" w:hAnsi="Arial" w:cs="Arial"/>
                      <w:sz w:val="28"/>
                      <w:szCs w:val="28"/>
                    </w:rPr>
                  </w:pPr>
                </w:p>
                <w:p w:rsidR="00E74027" w:rsidRPr="00FE32C7" w:rsidRDefault="00E74027" w:rsidP="00E74027">
                  <w:pPr>
                    <w:pStyle w:val="Default"/>
                    <w:ind w:left="405"/>
                  </w:pPr>
                  <w:r w:rsidRPr="00FE32C7">
                    <w:t xml:space="preserve"> Address: Bank </w:t>
                  </w:r>
                  <w:proofErr w:type="spellStart"/>
                  <w:r w:rsidRPr="00FE32C7">
                    <w:t>Saderat</w:t>
                  </w:r>
                  <w:proofErr w:type="spellEnd"/>
                  <w:r w:rsidRPr="00FE32C7">
                    <w:t xml:space="preserve"> Tower, 43 </w:t>
                  </w:r>
                  <w:proofErr w:type="spellStart"/>
                  <w:r w:rsidRPr="00FE32C7">
                    <w:t>Somayeh</w:t>
                  </w:r>
                  <w:proofErr w:type="spellEnd"/>
                  <w:r w:rsidRPr="00FE32C7">
                    <w:t xml:space="preserve"> Ave, Tehran, Iran. Other Information: EU listing. Not UN. Designation applies to all branches and subsidiaries. Partly owned by the Iranian government. Listed on: 27/07/2010 Last Updated: 24/10/2016 Group ID: 11185.</w:t>
                  </w:r>
                </w:p>
                <w:p w:rsidR="00E74027" w:rsidRPr="00FE32C7" w:rsidRDefault="00E74027" w:rsidP="00E74027">
                  <w:pPr>
                    <w:pStyle w:val="Default"/>
                    <w:ind w:left="405"/>
                  </w:pPr>
                </w:p>
                <w:p w:rsidR="00E74027" w:rsidRPr="00FE32C7" w:rsidRDefault="00E74027" w:rsidP="00E74027">
                  <w:pPr>
                    <w:pStyle w:val="Default"/>
                    <w:numPr>
                      <w:ilvl w:val="0"/>
                      <w:numId w:val="45"/>
                    </w:numPr>
                  </w:pPr>
                  <w:r w:rsidRPr="00FE32C7">
                    <w:t xml:space="preserve">BANK SADERAT PLC Address: 5 </w:t>
                  </w:r>
                  <w:proofErr w:type="spellStart"/>
                  <w:r w:rsidRPr="00FE32C7">
                    <w:t>Lothbury</w:t>
                  </w:r>
                  <w:proofErr w:type="spellEnd"/>
                  <w:r w:rsidRPr="00FE32C7">
                    <w:t>, London, United Kingdom, EC2R</w:t>
                  </w:r>
                </w:p>
                <w:p w:rsidR="00716AE4" w:rsidRPr="00FE32C7" w:rsidRDefault="00E74027" w:rsidP="00E74027">
                  <w:pPr>
                    <w:pStyle w:val="Default"/>
                    <w:ind w:left="405"/>
                    <w:rPr>
                      <w:rFonts w:ascii="Arial" w:hAnsi="Arial" w:cs="Arial"/>
                    </w:rPr>
                  </w:pPr>
                  <w:r w:rsidRPr="00FE32C7">
                    <w:t xml:space="preserve"> 7HD. Other Information: EU listing. Not UN. 100% owned subsidiary of Bank </w:t>
                  </w:r>
                  <w:proofErr w:type="spellStart"/>
                  <w:r w:rsidRPr="00FE32C7">
                    <w:t>Saderat</w:t>
                  </w:r>
                  <w:proofErr w:type="spellEnd"/>
                  <w:r w:rsidRPr="00FE32C7">
                    <w:t>. Listed on: 27/07/2010 Last Updated: 24/10/2016 Group ID: 11268.</w:t>
                  </w:r>
                </w:p>
                <w:p w:rsidR="00716AE4" w:rsidRPr="00FE32C7" w:rsidRDefault="00716AE4" w:rsidP="008C0A51">
                  <w:pPr>
                    <w:pStyle w:val="Default"/>
                    <w:rPr>
                      <w:rFonts w:ascii="Arial" w:hAnsi="Arial" w:cs="Arial"/>
                    </w:rPr>
                  </w:pPr>
                </w:p>
                <w:p w:rsidR="00716AE4" w:rsidRPr="00FE32C7" w:rsidRDefault="00716AE4" w:rsidP="008C0A51">
                  <w:pPr>
                    <w:pStyle w:val="Default"/>
                    <w:rPr>
                      <w:rFonts w:ascii="Arial" w:hAnsi="Arial" w:cs="Arial"/>
                    </w:rPr>
                  </w:pPr>
                </w:p>
                <w:p w:rsidR="00E74027" w:rsidRPr="00430103" w:rsidRDefault="00E74027" w:rsidP="008C0A51">
                  <w:pPr>
                    <w:pStyle w:val="Default"/>
                    <w:rPr>
                      <w:rFonts w:ascii="Arial" w:hAnsi="Arial" w:cs="Arial"/>
                    </w:rPr>
                  </w:pPr>
                </w:p>
                <w:p w:rsidR="008C0A51" w:rsidRPr="00430103" w:rsidRDefault="008C0A51" w:rsidP="00E74027">
                  <w:pPr>
                    <w:spacing w:after="0" w:line="240" w:lineRule="auto"/>
                    <w:ind w:right="-90"/>
                    <w:jc w:val="both"/>
                    <w:rPr>
                      <w:rFonts w:ascii="Arial" w:hAnsi="Arial" w:cs="Arial"/>
                      <w:b/>
                      <w:sz w:val="24"/>
                      <w:szCs w:val="24"/>
                    </w:rPr>
                  </w:pPr>
                </w:p>
                <w:p w:rsidR="00031D0E" w:rsidRPr="00FE32C7" w:rsidRDefault="00031D0E" w:rsidP="00031D0E">
                  <w:pPr>
                    <w:spacing w:after="0" w:line="240" w:lineRule="auto"/>
                    <w:ind w:left="-108" w:right="-90"/>
                    <w:jc w:val="both"/>
                    <w:rPr>
                      <w:rFonts w:ascii="Arial" w:hAnsi="Arial" w:cs="Arial"/>
                      <w:b/>
                      <w:sz w:val="28"/>
                      <w:szCs w:val="28"/>
                    </w:rPr>
                  </w:pPr>
                  <w:r w:rsidRPr="00FE32C7">
                    <w:rPr>
                      <w:rFonts w:ascii="Arial" w:hAnsi="Arial" w:cs="Arial"/>
                      <w:b/>
                      <w:sz w:val="28"/>
                      <w:szCs w:val="28"/>
                    </w:rPr>
                    <w:t xml:space="preserve">Financial Services Commission  </w:t>
                  </w:r>
                </w:p>
                <w:p w:rsidR="00F558D6" w:rsidRPr="00031D0E" w:rsidRDefault="00E74027" w:rsidP="00E74027">
                  <w:pPr>
                    <w:spacing w:after="0" w:line="240" w:lineRule="auto"/>
                    <w:ind w:left="-108" w:right="-90"/>
                    <w:jc w:val="both"/>
                    <w:rPr>
                      <w:rFonts w:ascii="Arial" w:hAnsi="Arial" w:cs="Arial"/>
                      <w:b/>
                      <w:sz w:val="24"/>
                      <w:szCs w:val="24"/>
                    </w:rPr>
                  </w:pPr>
                  <w:r w:rsidRPr="00FE32C7">
                    <w:rPr>
                      <w:rFonts w:ascii="Arial" w:hAnsi="Arial" w:cs="Arial"/>
                      <w:b/>
                      <w:sz w:val="28"/>
                      <w:szCs w:val="28"/>
                    </w:rPr>
                    <w:t>24</w:t>
                  </w:r>
                  <w:r w:rsidR="00B1460A" w:rsidRPr="00FE32C7">
                    <w:rPr>
                      <w:rFonts w:ascii="Arial" w:hAnsi="Arial" w:cs="Arial"/>
                      <w:b/>
                      <w:sz w:val="28"/>
                      <w:szCs w:val="28"/>
                    </w:rPr>
                    <w:t>/</w:t>
                  </w:r>
                  <w:r w:rsidRPr="00FE32C7">
                    <w:rPr>
                      <w:rFonts w:ascii="Arial" w:hAnsi="Arial" w:cs="Arial"/>
                      <w:b/>
                      <w:sz w:val="28"/>
                      <w:szCs w:val="28"/>
                    </w:rPr>
                    <w:t>10</w:t>
                  </w:r>
                  <w:r w:rsidR="00031D0E" w:rsidRPr="00FE32C7">
                    <w:rPr>
                      <w:rFonts w:ascii="Arial" w:hAnsi="Arial" w:cs="Arial"/>
                      <w:b/>
                      <w:sz w:val="28"/>
                      <w:szCs w:val="28"/>
                    </w:rPr>
                    <w:t>/2016</w:t>
                  </w:r>
                </w:p>
              </w:tc>
            </w:tr>
          </w:tbl>
          <w:p w:rsidR="00A3089A" w:rsidRPr="00031D0E" w:rsidRDefault="00A3089A" w:rsidP="00AC4F7C">
            <w:pPr>
              <w:spacing w:after="0" w:line="240" w:lineRule="auto"/>
              <w:ind w:right="-90"/>
              <w:jc w:val="both"/>
              <w:rPr>
                <w:rFonts w:ascii="Arial" w:hAnsi="Arial" w:cs="Arial"/>
                <w:sz w:val="24"/>
                <w:szCs w:val="24"/>
              </w:rPr>
            </w:pPr>
          </w:p>
        </w:tc>
      </w:tr>
    </w:tbl>
    <w:p w:rsidR="0051414A" w:rsidRPr="00031D0E" w:rsidRDefault="0051414A" w:rsidP="00CF7FCD">
      <w:pPr>
        <w:rPr>
          <w:rFonts w:ascii="Arial" w:hAnsi="Arial" w:cs="Arial"/>
          <w:sz w:val="24"/>
          <w:szCs w:val="24"/>
        </w:rPr>
      </w:pPr>
    </w:p>
    <w:sectPr w:rsidR="0051414A" w:rsidRPr="00031D0E"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FB0" w:rsidRDefault="00812FB0" w:rsidP="00A214FB">
      <w:pPr>
        <w:spacing w:after="0" w:line="240" w:lineRule="auto"/>
      </w:pPr>
      <w:r>
        <w:separator/>
      </w:r>
    </w:p>
  </w:endnote>
  <w:endnote w:type="continuationSeparator" w:id="0">
    <w:p w:rsidR="00812FB0" w:rsidRDefault="00812FB0"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FB0" w:rsidRDefault="00812FB0" w:rsidP="00A214FB">
      <w:pPr>
        <w:spacing w:after="0" w:line="240" w:lineRule="auto"/>
      </w:pPr>
      <w:r>
        <w:separator/>
      </w:r>
    </w:p>
  </w:footnote>
  <w:footnote w:type="continuationSeparator" w:id="0">
    <w:p w:rsidR="00812FB0" w:rsidRDefault="00812FB0"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B2"/>
    <w:multiLevelType w:val="hybridMultilevel"/>
    <w:tmpl w:val="47889D3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ED1FFD"/>
    <w:multiLevelType w:val="hybridMultilevel"/>
    <w:tmpl w:val="FF7A8318"/>
    <w:lvl w:ilvl="0" w:tplc="BE4028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90125C5"/>
    <w:multiLevelType w:val="hybridMultilevel"/>
    <w:tmpl w:val="6394C28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A4B233A"/>
    <w:multiLevelType w:val="hybridMultilevel"/>
    <w:tmpl w:val="42787AA4"/>
    <w:lvl w:ilvl="0" w:tplc="8A28A3FC">
      <w:start w:val="1"/>
      <w:numFmt w:val="lowerLetter"/>
      <w:lvlText w:val="%1."/>
      <w:lvlJc w:val="left"/>
      <w:pPr>
        <w:ind w:left="180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4">
    <w:nsid w:val="0AEF2B13"/>
    <w:multiLevelType w:val="hybridMultilevel"/>
    <w:tmpl w:val="7652969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BCF484B"/>
    <w:multiLevelType w:val="hybridMultilevel"/>
    <w:tmpl w:val="5B32270C"/>
    <w:lvl w:ilvl="0" w:tplc="6890CBA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E103045"/>
    <w:multiLevelType w:val="hybridMultilevel"/>
    <w:tmpl w:val="D3A88D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4E24DA9"/>
    <w:multiLevelType w:val="hybridMultilevel"/>
    <w:tmpl w:val="F21475D4"/>
    <w:lvl w:ilvl="0" w:tplc="B3647ED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6433C0F"/>
    <w:multiLevelType w:val="hybridMultilevel"/>
    <w:tmpl w:val="839215B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19DF41BA"/>
    <w:multiLevelType w:val="hybridMultilevel"/>
    <w:tmpl w:val="7CFE890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B276C5B"/>
    <w:multiLevelType w:val="hybridMultilevel"/>
    <w:tmpl w:val="83A01E26"/>
    <w:lvl w:ilvl="0" w:tplc="206AC9E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1D2A0FE4"/>
    <w:multiLevelType w:val="hybridMultilevel"/>
    <w:tmpl w:val="D084FF74"/>
    <w:lvl w:ilvl="0" w:tplc="02E45EE8">
      <w:start w:val="1"/>
      <w:numFmt w:val="lowerRoman"/>
      <w:lvlText w:val="%1."/>
      <w:lvlJc w:val="left"/>
      <w:pPr>
        <w:ind w:left="1080" w:hanging="720"/>
      </w:pPr>
      <w:rPr>
        <w:rFonts w:hint="default"/>
      </w:rPr>
    </w:lvl>
    <w:lvl w:ilvl="1" w:tplc="BE4E536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DF16E56"/>
    <w:multiLevelType w:val="hybridMultilevel"/>
    <w:tmpl w:val="4D7E36D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1E89201D"/>
    <w:multiLevelType w:val="hybridMultilevel"/>
    <w:tmpl w:val="5BD8EBE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1F13571D"/>
    <w:multiLevelType w:val="hybridMultilevel"/>
    <w:tmpl w:val="5E10246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nsid w:val="218E07A6"/>
    <w:multiLevelType w:val="hybridMultilevel"/>
    <w:tmpl w:val="4D1817F2"/>
    <w:lvl w:ilvl="0" w:tplc="8A28A3FC">
      <w:start w:val="1"/>
      <w:numFmt w:val="lowerLetter"/>
      <w:lvlText w:val="%1."/>
      <w:lvlJc w:val="left"/>
      <w:pPr>
        <w:ind w:left="108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36F053B"/>
    <w:multiLevelType w:val="hybridMultilevel"/>
    <w:tmpl w:val="79E01E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6850880"/>
    <w:multiLevelType w:val="hybridMultilevel"/>
    <w:tmpl w:val="BAA6FE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A1E6B71"/>
    <w:multiLevelType w:val="hybridMultilevel"/>
    <w:tmpl w:val="2B7EED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2D5D7969"/>
    <w:multiLevelType w:val="hybridMultilevel"/>
    <w:tmpl w:val="0F7428F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2E674FFB"/>
    <w:multiLevelType w:val="hybridMultilevel"/>
    <w:tmpl w:val="8562A5B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2FA17962"/>
    <w:multiLevelType w:val="hybridMultilevel"/>
    <w:tmpl w:val="3AF6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E1D5D"/>
    <w:multiLevelType w:val="hybridMultilevel"/>
    <w:tmpl w:val="214850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CFA0810"/>
    <w:multiLevelType w:val="hybridMultilevel"/>
    <w:tmpl w:val="DCEC08B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EE17E5C"/>
    <w:multiLevelType w:val="hybridMultilevel"/>
    <w:tmpl w:val="AF34E72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3F2C2A0C"/>
    <w:multiLevelType w:val="hybridMultilevel"/>
    <w:tmpl w:val="B92C5C80"/>
    <w:lvl w:ilvl="0" w:tplc="8A28A3FC">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6">
    <w:nsid w:val="3F630D31"/>
    <w:multiLevelType w:val="hybridMultilevel"/>
    <w:tmpl w:val="6492C5A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39F5EE6"/>
    <w:multiLevelType w:val="hybridMultilevel"/>
    <w:tmpl w:val="5A340A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3A71C48"/>
    <w:multiLevelType w:val="hybridMultilevel"/>
    <w:tmpl w:val="2A6A69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75378C3"/>
    <w:multiLevelType w:val="hybridMultilevel"/>
    <w:tmpl w:val="382C47C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4D38146F"/>
    <w:multiLevelType w:val="hybridMultilevel"/>
    <w:tmpl w:val="4716A3D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nsid w:val="4EBB0F38"/>
    <w:multiLevelType w:val="hybridMultilevel"/>
    <w:tmpl w:val="1FC2C22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3412272"/>
    <w:multiLevelType w:val="hybridMultilevel"/>
    <w:tmpl w:val="2A88123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D4728D6"/>
    <w:multiLevelType w:val="hybridMultilevel"/>
    <w:tmpl w:val="AF6C47C4"/>
    <w:lvl w:ilvl="0" w:tplc="ADCE5E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3A87214"/>
    <w:multiLevelType w:val="hybridMultilevel"/>
    <w:tmpl w:val="66124E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5">
    <w:nsid w:val="67520437"/>
    <w:multiLevelType w:val="hybridMultilevel"/>
    <w:tmpl w:val="AD7CF33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8FB37CA"/>
    <w:multiLevelType w:val="hybridMultilevel"/>
    <w:tmpl w:val="AA80859C"/>
    <w:lvl w:ilvl="0" w:tplc="ADCE5E5A">
      <w:start w:val="1"/>
      <w:numFmt w:val="lowerRoman"/>
      <w:lvlText w:val="%1."/>
      <w:lvlJc w:val="left"/>
      <w:pPr>
        <w:ind w:left="1080" w:hanging="720"/>
      </w:pPr>
      <w:rPr>
        <w:rFonts w:hint="default"/>
      </w:rPr>
    </w:lvl>
    <w:lvl w:ilvl="1" w:tplc="179AB4FE">
      <w:start w:val="1"/>
      <w:numFmt w:val="decimal"/>
      <w:lvlText w:val="%2."/>
      <w:lvlJc w:val="left"/>
      <w:pPr>
        <w:ind w:left="81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B2B113A"/>
    <w:multiLevelType w:val="hybridMultilevel"/>
    <w:tmpl w:val="209C64E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BB4254A"/>
    <w:multiLevelType w:val="hybridMultilevel"/>
    <w:tmpl w:val="A248494E"/>
    <w:lvl w:ilvl="0" w:tplc="2409001B">
      <w:start w:val="1"/>
      <w:numFmt w:val="low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DA10C5B"/>
    <w:multiLevelType w:val="hybridMultilevel"/>
    <w:tmpl w:val="A052DD3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705D6540"/>
    <w:multiLevelType w:val="hybridMultilevel"/>
    <w:tmpl w:val="04C2DBC2"/>
    <w:lvl w:ilvl="0" w:tplc="24EE286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6AD1BF2"/>
    <w:multiLevelType w:val="hybridMultilevel"/>
    <w:tmpl w:val="939AE63E"/>
    <w:lvl w:ilvl="0" w:tplc="8012994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6DF23EA"/>
    <w:multiLevelType w:val="hybridMultilevel"/>
    <w:tmpl w:val="1D02352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92E3893"/>
    <w:multiLevelType w:val="hybridMultilevel"/>
    <w:tmpl w:val="8FE02C6E"/>
    <w:lvl w:ilvl="0" w:tplc="DDE8B9D0">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4">
    <w:nsid w:val="7F1057CA"/>
    <w:multiLevelType w:val="hybridMultilevel"/>
    <w:tmpl w:val="DCC629E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7"/>
  </w:num>
  <w:num w:numId="2">
    <w:abstractNumId w:val="8"/>
  </w:num>
  <w:num w:numId="3">
    <w:abstractNumId w:val="34"/>
  </w:num>
  <w:num w:numId="4">
    <w:abstractNumId w:val="11"/>
  </w:num>
  <w:num w:numId="5">
    <w:abstractNumId w:val="0"/>
  </w:num>
  <w:num w:numId="6">
    <w:abstractNumId w:val="27"/>
  </w:num>
  <w:num w:numId="7">
    <w:abstractNumId w:val="38"/>
  </w:num>
  <w:num w:numId="8">
    <w:abstractNumId w:val="24"/>
  </w:num>
  <w:num w:numId="9">
    <w:abstractNumId w:val="28"/>
  </w:num>
  <w:num w:numId="10">
    <w:abstractNumId w:val="13"/>
  </w:num>
  <w:num w:numId="11">
    <w:abstractNumId w:val="6"/>
  </w:num>
  <w:num w:numId="12">
    <w:abstractNumId w:val="26"/>
  </w:num>
  <w:num w:numId="13">
    <w:abstractNumId w:val="7"/>
  </w:num>
  <w:num w:numId="14">
    <w:abstractNumId w:val="32"/>
  </w:num>
  <w:num w:numId="15">
    <w:abstractNumId w:val="18"/>
  </w:num>
  <w:num w:numId="16">
    <w:abstractNumId w:val="36"/>
  </w:num>
  <w:num w:numId="17">
    <w:abstractNumId w:val="33"/>
  </w:num>
  <w:num w:numId="18">
    <w:abstractNumId w:val="35"/>
  </w:num>
  <w:num w:numId="19">
    <w:abstractNumId w:val="39"/>
  </w:num>
  <w:num w:numId="20">
    <w:abstractNumId w:val="14"/>
  </w:num>
  <w:num w:numId="21">
    <w:abstractNumId w:val="42"/>
  </w:num>
  <w:num w:numId="22">
    <w:abstractNumId w:val="29"/>
  </w:num>
  <w:num w:numId="23">
    <w:abstractNumId w:val="12"/>
  </w:num>
  <w:num w:numId="24">
    <w:abstractNumId w:val="9"/>
  </w:num>
  <w:num w:numId="25">
    <w:abstractNumId w:val="23"/>
  </w:num>
  <w:num w:numId="26">
    <w:abstractNumId w:val="43"/>
  </w:num>
  <w:num w:numId="27">
    <w:abstractNumId w:val="22"/>
  </w:num>
  <w:num w:numId="28">
    <w:abstractNumId w:val="41"/>
  </w:num>
  <w:num w:numId="29">
    <w:abstractNumId w:val="30"/>
  </w:num>
  <w:num w:numId="30">
    <w:abstractNumId w:val="2"/>
  </w:num>
  <w:num w:numId="31">
    <w:abstractNumId w:val="16"/>
  </w:num>
  <w:num w:numId="32">
    <w:abstractNumId w:val="37"/>
  </w:num>
  <w:num w:numId="33">
    <w:abstractNumId w:val="5"/>
  </w:num>
  <w:num w:numId="34">
    <w:abstractNumId w:val="44"/>
  </w:num>
  <w:num w:numId="35">
    <w:abstractNumId w:val="1"/>
  </w:num>
  <w:num w:numId="36">
    <w:abstractNumId w:val="20"/>
  </w:num>
  <w:num w:numId="37">
    <w:abstractNumId w:val="4"/>
  </w:num>
  <w:num w:numId="38">
    <w:abstractNumId w:val="19"/>
  </w:num>
  <w:num w:numId="39">
    <w:abstractNumId w:val="31"/>
  </w:num>
  <w:num w:numId="40">
    <w:abstractNumId w:val="40"/>
  </w:num>
  <w:num w:numId="41">
    <w:abstractNumId w:val="25"/>
  </w:num>
  <w:num w:numId="42">
    <w:abstractNumId w:val="3"/>
  </w:num>
  <w:num w:numId="43">
    <w:abstractNumId w:val="15"/>
  </w:num>
  <w:num w:numId="44">
    <w:abstractNumId w:val="21"/>
  </w:num>
  <w:num w:numId="4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247"/>
    <w:rsid w:val="00002CC9"/>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50B6"/>
    <w:rsid w:val="00035665"/>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483B"/>
    <w:rsid w:val="00135ABA"/>
    <w:rsid w:val="0013754B"/>
    <w:rsid w:val="001404D9"/>
    <w:rsid w:val="0014687E"/>
    <w:rsid w:val="00150580"/>
    <w:rsid w:val="001538C0"/>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208E"/>
    <w:rsid w:val="00265F85"/>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1890"/>
    <w:rsid w:val="005A2DAB"/>
    <w:rsid w:val="005A4D39"/>
    <w:rsid w:val="005B3428"/>
    <w:rsid w:val="005B40D1"/>
    <w:rsid w:val="005B5C99"/>
    <w:rsid w:val="005B6AE3"/>
    <w:rsid w:val="005B7CFD"/>
    <w:rsid w:val="005C6C3F"/>
    <w:rsid w:val="005D32C0"/>
    <w:rsid w:val="005D3577"/>
    <w:rsid w:val="005E1E13"/>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48F1"/>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72C40"/>
    <w:rsid w:val="00685C34"/>
    <w:rsid w:val="00691113"/>
    <w:rsid w:val="0069209E"/>
    <w:rsid w:val="00692119"/>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31EC"/>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2FB0"/>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15CB"/>
    <w:rsid w:val="00861C13"/>
    <w:rsid w:val="0086320E"/>
    <w:rsid w:val="00864502"/>
    <w:rsid w:val="00866044"/>
    <w:rsid w:val="008747A6"/>
    <w:rsid w:val="008810CD"/>
    <w:rsid w:val="0088151E"/>
    <w:rsid w:val="00882917"/>
    <w:rsid w:val="0088443B"/>
    <w:rsid w:val="00890003"/>
    <w:rsid w:val="00890F51"/>
    <w:rsid w:val="008915BD"/>
    <w:rsid w:val="008923E8"/>
    <w:rsid w:val="008A3322"/>
    <w:rsid w:val="008B175E"/>
    <w:rsid w:val="008B225F"/>
    <w:rsid w:val="008B4BF7"/>
    <w:rsid w:val="008C0A51"/>
    <w:rsid w:val="008C2875"/>
    <w:rsid w:val="008C6039"/>
    <w:rsid w:val="008D1B56"/>
    <w:rsid w:val="008D2EC3"/>
    <w:rsid w:val="008D786D"/>
    <w:rsid w:val="008E0CC0"/>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072"/>
    <w:rsid w:val="009C0806"/>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87FF1"/>
    <w:rsid w:val="00A90BE3"/>
    <w:rsid w:val="00A94002"/>
    <w:rsid w:val="00A95BEB"/>
    <w:rsid w:val="00AA2B6B"/>
    <w:rsid w:val="00AA4CF6"/>
    <w:rsid w:val="00AA61F7"/>
    <w:rsid w:val="00AB0C45"/>
    <w:rsid w:val="00AB6B36"/>
    <w:rsid w:val="00AC06F2"/>
    <w:rsid w:val="00AC3B65"/>
    <w:rsid w:val="00AC4F7C"/>
    <w:rsid w:val="00AD228D"/>
    <w:rsid w:val="00AD507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4BFA"/>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74027"/>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6150B"/>
    <w:rsid w:val="00F62F87"/>
    <w:rsid w:val="00F642A9"/>
    <w:rsid w:val="00F6440F"/>
    <w:rsid w:val="00F66849"/>
    <w:rsid w:val="00F77B17"/>
    <w:rsid w:val="00F80821"/>
    <w:rsid w:val="00F80CAD"/>
    <w:rsid w:val="00F80EB4"/>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32C7"/>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ates@fco.gs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c/committees" TargetMode="External"/><Relationship Id="rId5" Type="http://schemas.openxmlformats.org/officeDocument/2006/relationships/webSettings" Target="webSettings.xml"/><Relationship Id="rId10" Type="http://schemas.openxmlformats.org/officeDocument/2006/relationships/hyperlink" Target="https://www.gov.uk/government/collections/financial-sanctions-regime-specificconsolidated-lists-and-releas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E23E-8115-46F8-ADA6-9B80639D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5</cp:revision>
  <cp:lastPrinted>2016-07-11T18:55:00Z</cp:lastPrinted>
  <dcterms:created xsi:type="dcterms:W3CDTF">2016-10-25T12:20:00Z</dcterms:created>
  <dcterms:modified xsi:type="dcterms:W3CDTF">2016-10-25T12:49:00Z</dcterms:modified>
</cp:coreProperties>
</file>