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7C" w:rsidRDefault="00A47A7C" w:rsidP="007371B9">
      <w:pPr>
        <w:pStyle w:val="Default"/>
        <w:rPr>
          <w:rFonts w:ascii="Bangkok" w:hAnsi="Bangkok"/>
          <w:b/>
          <w:sz w:val="40"/>
          <w:szCs w:val="40"/>
        </w:rPr>
      </w:pPr>
      <w:r>
        <w:rPr>
          <w:rFonts w:ascii="Bangkok" w:hAnsi="Bangkok"/>
          <w:b/>
          <w:noProof/>
          <w:sz w:val="40"/>
          <w:szCs w:val="40"/>
          <w:lang w:val="en-029" w:eastAsia="en-0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-422910</wp:posOffset>
            </wp:positionV>
            <wp:extent cx="1223645" cy="1119505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ngkok" w:hAnsi="Bangkok"/>
          <w:b/>
          <w:sz w:val="40"/>
          <w:szCs w:val="40"/>
        </w:rPr>
        <w:t xml:space="preserve"> </w:t>
      </w:r>
      <w:r w:rsidRPr="003A114E">
        <w:rPr>
          <w:rFonts w:ascii="Bangkok" w:hAnsi="Bangkok"/>
          <w:b/>
          <w:sz w:val="40"/>
          <w:szCs w:val="40"/>
        </w:rPr>
        <w:t>FINANCIAL SERVICES COMMISSION</w:t>
      </w:r>
    </w:p>
    <w:p w:rsidR="007371B9" w:rsidRPr="007371B9" w:rsidRDefault="00A47A7C" w:rsidP="007371B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 w:rsidRPr="00A47A7C">
        <w:rPr>
          <w:rFonts w:ascii="Arial" w:hAnsi="Arial" w:cs="Arial"/>
          <w:noProof/>
          <w:sz w:val="22"/>
          <w:szCs w:val="22"/>
          <w:lang w:val="en-029" w:eastAsia="en-029"/>
        </w:rPr>
        <w:drawing>
          <wp:inline distT="0" distB="0" distL="0" distR="0">
            <wp:extent cx="4639214" cy="215375"/>
            <wp:effectExtent l="19050" t="0" r="8986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37" cy="2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48"/>
      </w:tblGrid>
      <w:tr w:rsidR="001D55F9" w:rsidRPr="00EF0E14" w:rsidTr="0048062F">
        <w:trPr>
          <w:trHeight w:val="10422"/>
        </w:trPr>
        <w:tc>
          <w:tcPr>
            <w:tcW w:w="96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378"/>
            </w:tblGrid>
            <w:tr w:rsidR="00102FED" w:rsidRPr="00EF0E14" w:rsidTr="006C74AF">
              <w:trPr>
                <w:trHeight w:val="1152"/>
              </w:trPr>
              <w:tc>
                <w:tcPr>
                  <w:tcW w:w="9378" w:type="dxa"/>
                </w:tcPr>
                <w:p w:rsidR="00102FED" w:rsidRPr="00EF0E14" w:rsidRDefault="00102FED" w:rsidP="006B488B">
                  <w:pPr>
                    <w:pStyle w:val="Default"/>
                    <w:ind w:left="-90" w:right="-90"/>
                    <w:jc w:val="both"/>
                    <w:rPr>
                      <w:rFonts w:ascii="Arial" w:hAnsi="Arial" w:cs="Arial"/>
                    </w:rPr>
                  </w:pPr>
                </w:p>
                <w:p w:rsidR="00102FED" w:rsidRPr="00EF0E14" w:rsidRDefault="00102FED" w:rsidP="006B488B">
                  <w:pPr>
                    <w:pStyle w:val="Default"/>
                    <w:ind w:left="-90" w:right="-90"/>
                    <w:jc w:val="both"/>
                    <w:rPr>
                      <w:rFonts w:ascii="Arial" w:hAnsi="Arial" w:cs="Arial"/>
                    </w:rPr>
                  </w:pPr>
                </w:p>
                <w:p w:rsidR="00381D34" w:rsidRPr="00EF0E14" w:rsidRDefault="0090315A" w:rsidP="006B488B">
                  <w:pPr>
                    <w:pStyle w:val="Default"/>
                    <w:ind w:left="-108" w:right="-9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</w:t>
                  </w:r>
                  <w:r w:rsidR="00810736">
                    <w:rPr>
                      <w:rFonts w:ascii="Arial" w:hAnsi="Arial" w:cs="Arial"/>
                    </w:rPr>
                    <w:t xml:space="preserve"> December</w:t>
                  </w:r>
                  <w:r w:rsidR="00102FED" w:rsidRPr="00EF0E14">
                    <w:rPr>
                      <w:rFonts w:ascii="Arial" w:hAnsi="Arial" w:cs="Arial"/>
                    </w:rPr>
                    <w:t xml:space="preserve"> 2014</w:t>
                  </w:r>
                  <w:r w:rsidR="002C128A">
                    <w:rPr>
                      <w:rFonts w:ascii="Arial" w:hAnsi="Arial" w:cs="Arial"/>
                    </w:rPr>
                    <w:t xml:space="preserve"> </w:t>
                  </w:r>
                </w:p>
                <w:p w:rsidR="00DB11A7" w:rsidRPr="00EF0E14" w:rsidRDefault="00DB11A7" w:rsidP="008923E8">
                  <w:pPr>
                    <w:pStyle w:val="Default"/>
                    <w:ind w:right="-9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6C74AF" w:rsidRPr="00EF0E14" w:rsidRDefault="006C74AF" w:rsidP="008923E8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4BDF" w:rsidRDefault="0090315A" w:rsidP="008915BD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Yemen</w:t>
            </w:r>
          </w:p>
          <w:p w:rsidR="009D5BD0" w:rsidRDefault="009D5BD0" w:rsidP="009D5BD0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0315A" w:rsidRPr="0090315A" w:rsidRDefault="0090315A" w:rsidP="0090315A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315A">
              <w:rPr>
                <w:rFonts w:ascii="Arial" w:hAnsi="Arial" w:cs="Arial"/>
                <w:b/>
                <w:sz w:val="24"/>
                <w:szCs w:val="24"/>
              </w:rPr>
              <w:t>Introduction</w:t>
            </w:r>
          </w:p>
          <w:p w:rsidR="0090315A" w:rsidRPr="0090315A" w:rsidRDefault="0090315A" w:rsidP="0090315A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Pr="0090315A" w:rsidRDefault="0090315A" w:rsidP="009031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>On 18 December 2014 the Council of the European Union decided to impose financial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315A">
              <w:rPr>
                <w:rFonts w:ascii="Arial" w:hAnsi="Arial" w:cs="Arial"/>
                <w:sz w:val="24"/>
                <w:szCs w:val="24"/>
              </w:rPr>
              <w:t>sanctions, including asset freezes, against certain individuals falling under the newly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315A">
              <w:rPr>
                <w:rFonts w:ascii="Arial" w:hAnsi="Arial" w:cs="Arial"/>
                <w:sz w:val="24"/>
                <w:szCs w:val="24"/>
              </w:rPr>
              <w:t>established Yemen financial sanctions regime. These restrictions are imposed by Council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315A">
              <w:rPr>
                <w:rFonts w:ascii="Arial" w:hAnsi="Arial" w:cs="Arial"/>
                <w:sz w:val="24"/>
                <w:szCs w:val="24"/>
              </w:rPr>
              <w:t>Regulation (EU) 1352/2014 (“the Regulation”).</w:t>
            </w:r>
          </w:p>
          <w:p w:rsidR="0090315A" w:rsidRPr="0090315A" w:rsidRDefault="0090315A" w:rsidP="0090315A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Pr="0090315A" w:rsidRDefault="0090315A" w:rsidP="009031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 xml:space="preserve">Identifying information for the individuals subject to financial sanctions </w:t>
            </w:r>
            <w:proofErr w:type="gramStart"/>
            <w:r w:rsidRPr="0090315A">
              <w:rPr>
                <w:rFonts w:ascii="Arial" w:hAnsi="Arial" w:cs="Arial"/>
                <w:sz w:val="24"/>
                <w:szCs w:val="24"/>
              </w:rPr>
              <w:t>are</w:t>
            </w:r>
            <w:proofErr w:type="gramEnd"/>
            <w:r w:rsidRPr="0090315A">
              <w:rPr>
                <w:rFonts w:ascii="Arial" w:hAnsi="Arial" w:cs="Arial"/>
                <w:sz w:val="24"/>
                <w:szCs w:val="24"/>
              </w:rPr>
              <w:t xml:space="preserve"> listed in 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315A">
              <w:rPr>
                <w:rFonts w:ascii="Arial" w:hAnsi="Arial" w:cs="Arial"/>
                <w:sz w:val="24"/>
                <w:szCs w:val="24"/>
              </w:rPr>
              <w:t>Annex to this Notice.</w:t>
            </w:r>
          </w:p>
          <w:p w:rsidR="0090315A" w:rsidRPr="0090315A" w:rsidRDefault="0090315A" w:rsidP="0090315A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Pr="0090315A" w:rsidRDefault="0090315A" w:rsidP="0090315A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315A">
              <w:rPr>
                <w:rFonts w:ascii="Arial" w:hAnsi="Arial" w:cs="Arial"/>
                <w:b/>
                <w:sz w:val="24"/>
                <w:szCs w:val="24"/>
              </w:rPr>
              <w:t>Notice summary (Full details are provided in the Annex to this Notice)</w:t>
            </w:r>
          </w:p>
          <w:p w:rsidR="0090315A" w:rsidRPr="0090315A" w:rsidRDefault="0090315A" w:rsidP="0090315A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Pr="0090315A" w:rsidRDefault="0090315A" w:rsidP="009031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>The following individuals have been added to the consolidated list of financial sanctions targets in the UK and are now subject to an asset freeze.</w:t>
            </w:r>
          </w:p>
          <w:p w:rsidR="0090315A" w:rsidRPr="0090315A" w:rsidRDefault="0090315A" w:rsidP="0090315A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Pr="0090315A" w:rsidRDefault="0090315A" w:rsidP="009031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 xml:space="preserve">AL HAKIM, Abdullah, </w:t>
            </w:r>
            <w:proofErr w:type="spellStart"/>
            <w:r w:rsidRPr="0090315A">
              <w:rPr>
                <w:rFonts w:ascii="Arial" w:hAnsi="Arial" w:cs="Arial"/>
                <w:sz w:val="24"/>
                <w:szCs w:val="24"/>
              </w:rPr>
              <w:t>Yahya</w:t>
            </w:r>
            <w:proofErr w:type="spellEnd"/>
            <w:r w:rsidRPr="0090315A">
              <w:rPr>
                <w:rFonts w:ascii="Arial" w:hAnsi="Arial" w:cs="Arial"/>
                <w:sz w:val="24"/>
                <w:szCs w:val="24"/>
              </w:rPr>
              <w:t xml:space="preserve"> (Group ID: 13190)</w:t>
            </w:r>
          </w:p>
          <w:p w:rsidR="0090315A" w:rsidRPr="0090315A" w:rsidRDefault="0090315A" w:rsidP="009031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 xml:space="preserve">AL-HUTHI, </w:t>
            </w:r>
            <w:proofErr w:type="spellStart"/>
            <w:r w:rsidRPr="0090315A">
              <w:rPr>
                <w:rFonts w:ascii="Arial" w:hAnsi="Arial" w:cs="Arial"/>
                <w:sz w:val="24"/>
                <w:szCs w:val="24"/>
              </w:rPr>
              <w:t>Abd</w:t>
            </w:r>
            <w:proofErr w:type="spellEnd"/>
            <w:r w:rsidRPr="0090315A">
              <w:rPr>
                <w:rFonts w:ascii="Arial" w:hAnsi="Arial" w:cs="Arial"/>
                <w:sz w:val="24"/>
                <w:szCs w:val="24"/>
              </w:rPr>
              <w:t>, Al-</w:t>
            </w:r>
            <w:proofErr w:type="spellStart"/>
            <w:r w:rsidRPr="0090315A">
              <w:rPr>
                <w:rFonts w:ascii="Arial" w:hAnsi="Arial" w:cs="Arial"/>
                <w:sz w:val="24"/>
                <w:szCs w:val="24"/>
              </w:rPr>
              <w:t>Khaliq</w:t>
            </w:r>
            <w:proofErr w:type="spellEnd"/>
            <w:r w:rsidRPr="0090315A">
              <w:rPr>
                <w:rFonts w:ascii="Arial" w:hAnsi="Arial" w:cs="Arial"/>
                <w:sz w:val="24"/>
                <w:szCs w:val="24"/>
              </w:rPr>
              <w:t xml:space="preserve"> (Group ID: 13191)</w:t>
            </w:r>
          </w:p>
          <w:p w:rsidR="0090315A" w:rsidRPr="0090315A" w:rsidRDefault="0090315A" w:rsidP="009031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>SALEH, Ali, Abdullah (Group ID: 13192)</w:t>
            </w:r>
          </w:p>
          <w:p w:rsidR="0090315A" w:rsidRPr="0090315A" w:rsidRDefault="0090315A" w:rsidP="0090315A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Pr="0090315A" w:rsidRDefault="0090315A" w:rsidP="0090315A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315A">
              <w:rPr>
                <w:rFonts w:ascii="Arial" w:hAnsi="Arial" w:cs="Arial"/>
                <w:b/>
                <w:sz w:val="24"/>
                <w:szCs w:val="24"/>
              </w:rPr>
              <w:t>What you must do</w:t>
            </w:r>
          </w:p>
          <w:p w:rsidR="0090315A" w:rsidRPr="0090315A" w:rsidRDefault="0090315A" w:rsidP="0090315A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Pr="0090315A" w:rsidRDefault="0090315A" w:rsidP="009031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>You must:</w:t>
            </w:r>
          </w:p>
          <w:p w:rsidR="0090315A" w:rsidRPr="0090315A" w:rsidRDefault="0090315A" w:rsidP="0090315A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Default="0090315A" w:rsidP="0090315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260" w:right="-90" w:hanging="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>check whether you maintain any accounts or hold any funds or economic resources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315A">
              <w:rPr>
                <w:rFonts w:ascii="Arial" w:hAnsi="Arial" w:cs="Arial"/>
                <w:sz w:val="24"/>
                <w:szCs w:val="24"/>
              </w:rPr>
              <w:t>for the persons set out in the Annex to this Notice;</w:t>
            </w:r>
          </w:p>
          <w:p w:rsidR="0090315A" w:rsidRPr="0090315A" w:rsidRDefault="0090315A" w:rsidP="0090315A">
            <w:pPr>
              <w:pStyle w:val="ListParagraph"/>
              <w:spacing w:after="0" w:line="240" w:lineRule="auto"/>
              <w:ind w:left="126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Default="0090315A" w:rsidP="0090315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260" w:right="-90" w:hanging="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>freeze such accou</w:t>
            </w:r>
            <w:r>
              <w:rPr>
                <w:rFonts w:ascii="Arial" w:hAnsi="Arial" w:cs="Arial"/>
                <w:sz w:val="24"/>
                <w:szCs w:val="24"/>
              </w:rPr>
              <w:t>nts, and other funds or assets;</w:t>
            </w:r>
          </w:p>
          <w:p w:rsidR="0090315A" w:rsidRPr="0090315A" w:rsidRDefault="0090315A" w:rsidP="0090315A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Pr="0090315A" w:rsidRDefault="0090315A" w:rsidP="0090315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260" w:right="-90" w:hanging="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>refrain from dealing with the funds or assets or making them available to such</w:t>
            </w:r>
          </w:p>
          <w:p w:rsidR="0090315A" w:rsidRDefault="0090315A" w:rsidP="0090315A">
            <w:pPr>
              <w:pStyle w:val="ListParagraph"/>
              <w:spacing w:after="0" w:line="240" w:lineRule="auto"/>
              <w:ind w:left="126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>persons unless licensed by the Treasury;</w:t>
            </w:r>
          </w:p>
          <w:p w:rsidR="0090315A" w:rsidRPr="0090315A" w:rsidRDefault="0090315A" w:rsidP="0090315A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Default="0090315A" w:rsidP="0090315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260" w:right="-90" w:hanging="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>report any findings to the Treasury, together with any additional information that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315A">
              <w:rPr>
                <w:rFonts w:ascii="Arial" w:hAnsi="Arial" w:cs="Arial"/>
                <w:sz w:val="24"/>
                <w:szCs w:val="24"/>
              </w:rPr>
              <w:t>would facilitate compliance with the Regulation;</w:t>
            </w:r>
          </w:p>
          <w:p w:rsidR="0090315A" w:rsidRPr="0090315A" w:rsidRDefault="0090315A" w:rsidP="0090315A">
            <w:pPr>
              <w:pStyle w:val="ListParagraph"/>
              <w:spacing w:after="0" w:line="240" w:lineRule="auto"/>
              <w:ind w:left="126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Pr="0090315A" w:rsidRDefault="0090315A" w:rsidP="0090315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260" w:right="-90" w:hanging="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0315A">
              <w:rPr>
                <w:rFonts w:ascii="Arial" w:hAnsi="Arial" w:cs="Arial"/>
                <w:sz w:val="24"/>
                <w:szCs w:val="24"/>
              </w:rPr>
              <w:t>provide</w:t>
            </w:r>
            <w:proofErr w:type="gramEnd"/>
            <w:r w:rsidRPr="0090315A">
              <w:rPr>
                <w:rFonts w:ascii="Arial" w:hAnsi="Arial" w:cs="Arial"/>
                <w:sz w:val="24"/>
                <w:szCs w:val="24"/>
              </w:rPr>
              <w:t xml:space="preserve"> any information concerning the frozen assets of designated persons that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315A">
              <w:rPr>
                <w:rFonts w:ascii="Arial" w:hAnsi="Arial" w:cs="Arial"/>
                <w:sz w:val="24"/>
                <w:szCs w:val="24"/>
              </w:rPr>
              <w:t>the Treasury may request. Information reported to the Treasury may be passed 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315A">
              <w:rPr>
                <w:rFonts w:ascii="Arial" w:hAnsi="Arial" w:cs="Arial"/>
                <w:sz w:val="24"/>
                <w:szCs w:val="24"/>
              </w:rPr>
              <w:t>to other regulatory authorities or law enforcement;</w:t>
            </w:r>
          </w:p>
          <w:p w:rsidR="0090315A" w:rsidRPr="0090315A" w:rsidRDefault="0090315A" w:rsidP="0090315A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Pr="0090315A" w:rsidRDefault="0090315A" w:rsidP="009031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lastRenderedPageBreak/>
              <w:t>Failure to comply with financial sanctions legislation or to seek to circumvent its</w:t>
            </w:r>
          </w:p>
          <w:p w:rsidR="0090315A" w:rsidRPr="0090315A" w:rsidRDefault="0090315A" w:rsidP="0090315A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0315A">
              <w:rPr>
                <w:rFonts w:ascii="Arial" w:hAnsi="Arial" w:cs="Arial"/>
                <w:sz w:val="24"/>
                <w:szCs w:val="24"/>
              </w:rPr>
              <w:t>provisions</w:t>
            </w:r>
            <w:proofErr w:type="gramEnd"/>
            <w:r w:rsidRPr="0090315A">
              <w:rPr>
                <w:rFonts w:ascii="Arial" w:hAnsi="Arial" w:cs="Arial"/>
                <w:sz w:val="24"/>
                <w:szCs w:val="24"/>
              </w:rPr>
              <w:t xml:space="preserve"> is a criminal offence.</w:t>
            </w:r>
          </w:p>
          <w:p w:rsidR="0090315A" w:rsidRDefault="0090315A" w:rsidP="0090315A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Pr="0090315A" w:rsidRDefault="0090315A" w:rsidP="0090315A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315A">
              <w:rPr>
                <w:rFonts w:ascii="Arial" w:hAnsi="Arial" w:cs="Arial"/>
                <w:b/>
                <w:sz w:val="24"/>
                <w:szCs w:val="24"/>
              </w:rPr>
              <w:t>Legislative details</w:t>
            </w:r>
          </w:p>
          <w:p w:rsidR="0090315A" w:rsidRPr="0090315A" w:rsidRDefault="0090315A" w:rsidP="0090315A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Pr="0090315A" w:rsidRDefault="0090315A" w:rsidP="009031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>The Regulation was published on 19 December 2014 by the Council of the European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315A">
              <w:rPr>
                <w:rFonts w:ascii="Arial" w:hAnsi="Arial" w:cs="Arial"/>
                <w:sz w:val="24"/>
                <w:szCs w:val="24"/>
              </w:rPr>
              <w:t>Union in the Official Journal of the European Union (O.J. L 365, 19.12.2014, p.60). It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315A">
              <w:rPr>
                <w:rFonts w:ascii="Arial" w:hAnsi="Arial" w:cs="Arial"/>
                <w:sz w:val="24"/>
                <w:szCs w:val="24"/>
              </w:rPr>
              <w:t>entered into force on 19 December 2014.</w:t>
            </w:r>
          </w:p>
          <w:p w:rsidR="0090315A" w:rsidRPr="0090315A" w:rsidRDefault="0090315A" w:rsidP="0090315A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Pr="0090315A" w:rsidRDefault="0090315A" w:rsidP="009031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>The Regulation reflects the decision made on 7 November 2014 by the United Nations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315A">
              <w:rPr>
                <w:rFonts w:ascii="Arial" w:hAnsi="Arial" w:cs="Arial"/>
                <w:sz w:val="24"/>
                <w:szCs w:val="24"/>
              </w:rPr>
              <w:t>Security Council (UNSC) Committee established pursuant to paragraph 19 of UNSC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315A">
              <w:rPr>
                <w:rFonts w:ascii="Arial" w:hAnsi="Arial" w:cs="Arial"/>
                <w:sz w:val="24"/>
                <w:szCs w:val="24"/>
              </w:rPr>
              <w:t>Resolution 2140 (2014) to designate three individuals to be subject to the travel ban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315A">
              <w:rPr>
                <w:rFonts w:ascii="Arial" w:hAnsi="Arial" w:cs="Arial"/>
                <w:sz w:val="24"/>
                <w:szCs w:val="24"/>
              </w:rPr>
              <w:t>and the freezing of funds and economic resources as set out in UNSCR 2140 (2014).</w:t>
            </w:r>
          </w:p>
          <w:p w:rsidR="0090315A" w:rsidRPr="0090315A" w:rsidRDefault="0090315A" w:rsidP="0090315A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Pr="0090315A" w:rsidRDefault="0090315A" w:rsidP="0090315A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315A">
              <w:rPr>
                <w:rFonts w:ascii="Arial" w:hAnsi="Arial" w:cs="Arial"/>
                <w:b/>
                <w:sz w:val="24"/>
                <w:szCs w:val="24"/>
              </w:rPr>
              <w:t>Further Information</w:t>
            </w:r>
          </w:p>
          <w:p w:rsidR="0090315A" w:rsidRPr="0090315A" w:rsidRDefault="0090315A" w:rsidP="0090315A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Pr="0090315A" w:rsidRDefault="0090315A" w:rsidP="009031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>A copy of the Regulation can be obtained from the website of the Official Journal of</w:t>
            </w:r>
            <w:r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Pr="0090315A">
              <w:rPr>
                <w:rFonts w:ascii="Arial" w:hAnsi="Arial" w:cs="Arial"/>
                <w:sz w:val="24"/>
                <w:szCs w:val="24"/>
              </w:rPr>
              <w:t>he European Union:</w:t>
            </w:r>
          </w:p>
          <w:p w:rsidR="0090315A" w:rsidRPr="0090315A" w:rsidRDefault="0090315A" w:rsidP="0090315A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90315A">
                <w:rPr>
                  <w:rStyle w:val="Hyperlink"/>
                  <w:rFonts w:ascii="Arial" w:hAnsi="Arial" w:cs="Arial"/>
                  <w:sz w:val="24"/>
                  <w:szCs w:val="24"/>
                </w:rPr>
                <w:t>http://eur-lex.europa.eu/legal-content/EN/TXT/PDF/?uri=OJ:JOL_2014_365_R_0007&amp;from=EN</w:t>
              </w:r>
            </w:hyperlink>
          </w:p>
          <w:p w:rsidR="0090315A" w:rsidRPr="0090315A" w:rsidRDefault="0090315A" w:rsidP="0090315A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Pr="0090315A" w:rsidRDefault="0090315A" w:rsidP="009031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>The Treasury may issue a licence permitting you to deal with funds or economic</w:t>
            </w:r>
          </w:p>
          <w:p w:rsidR="0090315A" w:rsidRPr="0090315A" w:rsidRDefault="0090315A" w:rsidP="0090315A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0315A">
              <w:rPr>
                <w:rFonts w:ascii="Arial" w:hAnsi="Arial" w:cs="Arial"/>
                <w:sz w:val="24"/>
                <w:szCs w:val="24"/>
              </w:rPr>
              <w:t>resources</w:t>
            </w:r>
            <w:proofErr w:type="gramEnd"/>
            <w:r w:rsidRPr="0090315A">
              <w:rPr>
                <w:rFonts w:ascii="Arial" w:hAnsi="Arial" w:cs="Arial"/>
                <w:sz w:val="24"/>
                <w:szCs w:val="24"/>
              </w:rPr>
              <w:t xml:space="preserve"> in a way which would otherwise be prohibited by the Regulation. For further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315A">
              <w:rPr>
                <w:rFonts w:ascii="Arial" w:hAnsi="Arial" w:cs="Arial"/>
                <w:sz w:val="24"/>
                <w:szCs w:val="24"/>
              </w:rPr>
              <w:t>information on applying for such a licence, please see our FAQs:</w:t>
            </w:r>
          </w:p>
          <w:p w:rsidR="0090315A" w:rsidRPr="0090315A" w:rsidRDefault="0090315A" w:rsidP="0090315A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90315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https://www.gov.uk/government/publications/financial-sanctions-faqs</w:t>
              </w:r>
            </w:hyperlink>
          </w:p>
          <w:p w:rsidR="0090315A" w:rsidRPr="0090315A" w:rsidRDefault="0090315A" w:rsidP="0090315A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Pr="0090315A" w:rsidRDefault="0090315A" w:rsidP="009031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 xml:space="preserve">Copies of relevant Releases, certain EU Regulations, UNSC Resolutions and UK legislation can be obtained from the Yemen Financial Sanctions page accessible via the GOV.UK website: </w:t>
            </w:r>
          </w:p>
          <w:p w:rsidR="0090315A" w:rsidRPr="0090315A" w:rsidRDefault="0090315A" w:rsidP="0090315A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90315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https://www.gov.uk/government/collections/financial-sanctions-regime-specificconsolidated-lists-and-releases</w:t>
              </w:r>
            </w:hyperlink>
          </w:p>
          <w:p w:rsidR="0090315A" w:rsidRPr="0090315A" w:rsidRDefault="0090315A" w:rsidP="0090315A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Pr="0090315A" w:rsidRDefault="0090315A" w:rsidP="009031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>Further details on the UN measures in respect of Yemen can be found on the relevant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315A">
              <w:rPr>
                <w:rFonts w:ascii="Arial" w:hAnsi="Arial" w:cs="Arial"/>
                <w:sz w:val="24"/>
                <w:szCs w:val="24"/>
              </w:rPr>
              <w:t xml:space="preserve">UN Sanctions Committee webpage: </w:t>
            </w:r>
          </w:p>
          <w:p w:rsidR="0090315A" w:rsidRPr="0090315A" w:rsidRDefault="0090315A" w:rsidP="0090315A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90315A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http://www.un.org/sc/committees</w:t>
              </w:r>
            </w:hyperlink>
            <w:r w:rsidRPr="0090315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0315A" w:rsidRPr="0090315A" w:rsidRDefault="0090315A" w:rsidP="0090315A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Pr="0090315A" w:rsidRDefault="0090315A" w:rsidP="009031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>Please see the FAQs for more information around financial sanctions:</w:t>
            </w:r>
          </w:p>
          <w:p w:rsidR="0090315A" w:rsidRPr="0090315A" w:rsidRDefault="0090315A" w:rsidP="0090315A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Pr="0090315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https://www.gov.uk/government/publications/financial-sanctions-faqs</w:t>
              </w:r>
            </w:hyperlink>
          </w:p>
          <w:p w:rsidR="00F52D56" w:rsidRPr="0090315A" w:rsidRDefault="00F52D56" w:rsidP="0090315A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5BD0" w:rsidRPr="0090315A" w:rsidRDefault="009D5BD0" w:rsidP="0090315A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315A">
              <w:rPr>
                <w:rFonts w:ascii="Arial" w:hAnsi="Arial" w:cs="Arial"/>
                <w:b/>
                <w:sz w:val="24"/>
                <w:szCs w:val="24"/>
              </w:rPr>
              <w:t>Enquiries/Contact Details</w:t>
            </w:r>
          </w:p>
          <w:p w:rsidR="009D5BD0" w:rsidRPr="0090315A" w:rsidRDefault="009D5BD0" w:rsidP="0090315A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5BD0" w:rsidRPr="0090315A" w:rsidRDefault="009D5BD0" w:rsidP="009031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>Non-media enquiries should be addressed to:</w:t>
            </w:r>
          </w:p>
          <w:p w:rsidR="009D5BD0" w:rsidRPr="0090315A" w:rsidRDefault="009D5BD0" w:rsidP="0090315A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5BD0" w:rsidRPr="0090315A" w:rsidRDefault="009D5BD0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>The Commissioner</w:t>
            </w:r>
          </w:p>
          <w:p w:rsidR="009D5BD0" w:rsidRPr="0090315A" w:rsidRDefault="009D5BD0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>Financial Services Commission</w:t>
            </w:r>
          </w:p>
          <w:p w:rsidR="009D5BD0" w:rsidRPr="0090315A" w:rsidRDefault="009D5BD0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315A">
              <w:rPr>
                <w:rFonts w:ascii="Arial" w:hAnsi="Arial" w:cs="Arial"/>
                <w:sz w:val="24"/>
                <w:szCs w:val="24"/>
              </w:rPr>
              <w:t>Brades</w:t>
            </w:r>
            <w:proofErr w:type="spellEnd"/>
          </w:p>
          <w:p w:rsidR="009D5BD0" w:rsidRPr="0090315A" w:rsidRDefault="009D5BD0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>Montserrat</w:t>
            </w:r>
          </w:p>
          <w:p w:rsidR="009D5BD0" w:rsidRPr="0090315A" w:rsidRDefault="009D5BD0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5BD0" w:rsidRPr="0090315A" w:rsidRDefault="009D5BD0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5BD0" w:rsidRPr="0090315A" w:rsidRDefault="009D5BD0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5BD0" w:rsidRPr="0090315A" w:rsidRDefault="009D5BD0" w:rsidP="0090315A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>Financial Services Commission</w:t>
            </w:r>
          </w:p>
          <w:p w:rsidR="009D5BD0" w:rsidRPr="0090315A" w:rsidRDefault="00E36941" w:rsidP="0090315A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9D5BD0" w:rsidRPr="0090315A">
              <w:rPr>
                <w:rFonts w:ascii="Arial" w:hAnsi="Arial" w:cs="Arial"/>
                <w:sz w:val="24"/>
                <w:szCs w:val="24"/>
              </w:rPr>
              <w:t>/12/2014</w:t>
            </w:r>
          </w:p>
          <w:p w:rsidR="009D5BD0" w:rsidRPr="0090315A" w:rsidRDefault="009D5BD0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5BD0" w:rsidRPr="0090315A" w:rsidRDefault="009D5BD0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5BD0" w:rsidRPr="0090315A" w:rsidRDefault="009D5BD0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5BD0" w:rsidRPr="0090315A" w:rsidRDefault="009D5BD0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5BD0" w:rsidRPr="0090315A" w:rsidRDefault="009D5BD0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5BD0" w:rsidRPr="0090315A" w:rsidRDefault="009D5BD0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5BD0" w:rsidRPr="0090315A" w:rsidRDefault="009D5BD0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5BD0" w:rsidRPr="0090315A" w:rsidRDefault="009D5BD0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5BD0" w:rsidRPr="0090315A" w:rsidRDefault="009D5BD0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5BD0" w:rsidRDefault="009D5BD0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Default="0090315A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Default="0090315A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Default="0090315A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Default="0090315A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Default="0090315A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Default="0090315A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Default="0090315A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Default="0090315A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Default="0090315A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Default="0090315A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Default="0090315A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Default="0090315A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Default="0090315A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Default="0090315A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Default="0090315A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Default="0090315A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Default="0090315A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Default="0090315A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Default="0090315A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Default="0090315A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Default="0090315A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Default="0090315A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Default="0090315A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Default="0090315A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Default="0090315A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Default="0090315A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Default="0090315A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Default="0090315A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Default="0090315A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Default="0090315A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Default="0090315A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Default="0090315A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Default="0090315A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Pr="0090315A" w:rsidRDefault="0090315A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5BD0" w:rsidRPr="0090315A" w:rsidRDefault="009D5BD0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5BD0" w:rsidRPr="0090315A" w:rsidRDefault="009D5BD0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5BD0" w:rsidRPr="0090315A" w:rsidRDefault="009D5BD0" w:rsidP="0090315A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Pr="0090315A" w:rsidRDefault="0090315A" w:rsidP="0090315A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0315A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ANNEX TO NOTICE</w:t>
            </w:r>
          </w:p>
          <w:p w:rsidR="0090315A" w:rsidRPr="0090315A" w:rsidRDefault="0090315A" w:rsidP="0090315A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315A" w:rsidRPr="0090315A" w:rsidRDefault="0090315A" w:rsidP="0090315A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315A">
              <w:rPr>
                <w:rFonts w:ascii="Arial" w:hAnsi="Arial" w:cs="Arial"/>
                <w:b/>
                <w:sz w:val="24"/>
                <w:szCs w:val="24"/>
              </w:rPr>
              <w:t>FINANCIAL SANCTIONS: YEMEN</w:t>
            </w:r>
          </w:p>
          <w:p w:rsidR="0090315A" w:rsidRPr="0090315A" w:rsidRDefault="0090315A" w:rsidP="0090315A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315A" w:rsidRPr="0090315A" w:rsidRDefault="0090315A" w:rsidP="0090315A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315A">
              <w:rPr>
                <w:rFonts w:ascii="Arial" w:hAnsi="Arial" w:cs="Arial"/>
                <w:b/>
                <w:sz w:val="24"/>
                <w:szCs w:val="24"/>
              </w:rPr>
              <w:t>COUNCIL IMPLEMENTING REGULATION (EU) No 1352/2014</w:t>
            </w:r>
          </w:p>
          <w:p w:rsidR="0090315A" w:rsidRDefault="0090315A" w:rsidP="0090315A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Pr="0090315A" w:rsidRDefault="0090315A" w:rsidP="0090315A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Pr="0090315A" w:rsidRDefault="0090315A" w:rsidP="0090315A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0315A">
              <w:rPr>
                <w:rFonts w:ascii="Arial" w:hAnsi="Arial" w:cs="Arial"/>
                <w:b/>
                <w:sz w:val="24"/>
                <w:szCs w:val="24"/>
                <w:u w:val="single"/>
              </w:rPr>
              <w:t>ADDITIONS</w:t>
            </w:r>
          </w:p>
          <w:p w:rsidR="0090315A" w:rsidRPr="0090315A" w:rsidRDefault="0090315A" w:rsidP="0090315A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0315A" w:rsidRPr="0090315A" w:rsidRDefault="0090315A" w:rsidP="0090315A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0315A">
              <w:rPr>
                <w:rFonts w:ascii="Arial" w:hAnsi="Arial" w:cs="Arial"/>
                <w:b/>
                <w:sz w:val="24"/>
                <w:szCs w:val="24"/>
                <w:u w:val="single"/>
              </w:rPr>
              <w:t>Individuals</w:t>
            </w:r>
          </w:p>
          <w:p w:rsidR="0090315A" w:rsidRPr="0090315A" w:rsidRDefault="0090315A" w:rsidP="0090315A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Pr="0090315A" w:rsidRDefault="0090315A" w:rsidP="0090315A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90315A">
              <w:rPr>
                <w:rFonts w:ascii="Arial" w:hAnsi="Arial" w:cs="Arial"/>
                <w:b/>
                <w:sz w:val="24"/>
                <w:szCs w:val="24"/>
              </w:rPr>
              <w:t xml:space="preserve">AL HAKIM, Abdullah, </w:t>
            </w:r>
            <w:proofErr w:type="spellStart"/>
            <w:r w:rsidRPr="0090315A">
              <w:rPr>
                <w:rFonts w:ascii="Arial" w:hAnsi="Arial" w:cs="Arial"/>
                <w:b/>
                <w:sz w:val="24"/>
                <w:szCs w:val="24"/>
              </w:rPr>
              <w:t>Yahya</w:t>
            </w:r>
            <w:proofErr w:type="spellEnd"/>
          </w:p>
          <w:p w:rsidR="0090315A" w:rsidRPr="0090315A" w:rsidRDefault="0090315A" w:rsidP="0090315A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 xml:space="preserve">DOB: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31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315A">
              <w:rPr>
                <w:rFonts w:ascii="Arial" w:hAnsi="Arial" w:cs="Arial"/>
                <w:sz w:val="24"/>
                <w:szCs w:val="24"/>
              </w:rPr>
              <w:t>(1) --/--/1985.</w:t>
            </w:r>
          </w:p>
          <w:p w:rsidR="0090315A" w:rsidRPr="0090315A" w:rsidRDefault="0090315A" w:rsidP="0090315A">
            <w:pPr>
              <w:spacing w:after="0" w:line="240" w:lineRule="auto"/>
              <w:ind w:left="99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 xml:space="preserve"> (2) --/--/1984.</w:t>
            </w:r>
          </w:p>
          <w:p w:rsidR="0090315A" w:rsidRPr="0090315A" w:rsidRDefault="0090315A" w:rsidP="0090315A">
            <w:pPr>
              <w:spacing w:after="0" w:line="240" w:lineRule="auto"/>
              <w:ind w:left="99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 xml:space="preserve"> (3) --/--/1986.</w:t>
            </w:r>
          </w:p>
          <w:p w:rsidR="0090315A" w:rsidRPr="0090315A" w:rsidRDefault="0090315A" w:rsidP="0090315A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 xml:space="preserve">POB: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315A">
              <w:rPr>
                <w:rFonts w:ascii="Arial" w:hAnsi="Arial" w:cs="Arial"/>
                <w:sz w:val="24"/>
                <w:szCs w:val="24"/>
              </w:rPr>
              <w:t xml:space="preserve">1) </w:t>
            </w:r>
            <w:proofErr w:type="spellStart"/>
            <w:r w:rsidRPr="0090315A">
              <w:rPr>
                <w:rFonts w:ascii="Arial" w:hAnsi="Arial" w:cs="Arial"/>
                <w:sz w:val="24"/>
                <w:szCs w:val="24"/>
              </w:rPr>
              <w:t>Dahyan</w:t>
            </w:r>
            <w:proofErr w:type="spellEnd"/>
            <w:r w:rsidRPr="0090315A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0315A" w:rsidRPr="0090315A" w:rsidRDefault="0090315A" w:rsidP="0090315A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9031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0315A">
              <w:rPr>
                <w:rFonts w:ascii="Arial" w:hAnsi="Arial" w:cs="Arial"/>
                <w:sz w:val="24"/>
                <w:szCs w:val="24"/>
              </w:rPr>
              <w:t xml:space="preserve"> 2) </w:t>
            </w:r>
            <w:proofErr w:type="spellStart"/>
            <w:r w:rsidRPr="0090315A">
              <w:rPr>
                <w:rFonts w:ascii="Arial" w:hAnsi="Arial" w:cs="Arial"/>
                <w:sz w:val="24"/>
                <w:szCs w:val="24"/>
              </w:rPr>
              <w:t>Sa’dah</w:t>
            </w:r>
            <w:proofErr w:type="spellEnd"/>
            <w:r w:rsidRPr="0090315A">
              <w:rPr>
                <w:rFonts w:ascii="Arial" w:hAnsi="Arial" w:cs="Arial"/>
                <w:sz w:val="24"/>
                <w:szCs w:val="24"/>
              </w:rPr>
              <w:t xml:space="preserve"> Governorate, Yemen</w:t>
            </w:r>
          </w:p>
          <w:p w:rsidR="0090315A" w:rsidRPr="0090315A" w:rsidRDefault="0090315A" w:rsidP="0090315A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315A">
              <w:rPr>
                <w:rFonts w:ascii="Arial" w:hAnsi="Arial" w:cs="Arial"/>
                <w:sz w:val="24"/>
                <w:szCs w:val="24"/>
              </w:rPr>
              <w:t>a.k.a</w:t>
            </w:r>
            <w:proofErr w:type="spellEnd"/>
            <w:r w:rsidRPr="0090315A">
              <w:rPr>
                <w:rFonts w:ascii="Arial" w:hAnsi="Arial" w:cs="Arial"/>
                <w:sz w:val="24"/>
                <w:szCs w:val="24"/>
              </w:rPr>
              <w:t>: (1) AL HAKIM, Abu, Ali</w:t>
            </w:r>
          </w:p>
          <w:p w:rsidR="0090315A" w:rsidRPr="0090315A" w:rsidRDefault="0090315A" w:rsidP="0090315A">
            <w:pPr>
              <w:spacing w:after="0" w:line="240" w:lineRule="auto"/>
              <w:ind w:left="90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>(2) ALHAKIM, Abu, Ali</w:t>
            </w:r>
          </w:p>
          <w:p w:rsidR="0090315A" w:rsidRPr="0090315A" w:rsidRDefault="0090315A" w:rsidP="0090315A">
            <w:pPr>
              <w:spacing w:after="0" w:line="240" w:lineRule="auto"/>
              <w:ind w:left="90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 xml:space="preserve">(3) AL-HAKIM, </w:t>
            </w:r>
            <w:proofErr w:type="spellStart"/>
            <w:r w:rsidRPr="0090315A">
              <w:rPr>
                <w:rFonts w:ascii="Arial" w:hAnsi="Arial" w:cs="Arial"/>
                <w:sz w:val="24"/>
                <w:szCs w:val="24"/>
              </w:rPr>
              <w:t>Abdallah</w:t>
            </w:r>
            <w:proofErr w:type="spellEnd"/>
          </w:p>
          <w:p w:rsidR="0090315A" w:rsidRPr="0090315A" w:rsidRDefault="0090315A" w:rsidP="0090315A">
            <w:pPr>
              <w:spacing w:after="0" w:line="240" w:lineRule="auto"/>
              <w:ind w:left="90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>(4) AL-HAKIM, Abu-Ali</w:t>
            </w:r>
          </w:p>
          <w:p w:rsidR="0090315A" w:rsidRPr="0090315A" w:rsidRDefault="0090315A" w:rsidP="0090315A">
            <w:pPr>
              <w:spacing w:after="0" w:line="240" w:lineRule="auto"/>
              <w:ind w:left="90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 xml:space="preserve">(5) AL-MU’AYYAD, </w:t>
            </w:r>
            <w:proofErr w:type="spellStart"/>
            <w:r w:rsidRPr="0090315A">
              <w:rPr>
                <w:rFonts w:ascii="Arial" w:hAnsi="Arial" w:cs="Arial"/>
                <w:sz w:val="24"/>
                <w:szCs w:val="24"/>
              </w:rPr>
              <w:t>Abdallah</w:t>
            </w:r>
            <w:proofErr w:type="spellEnd"/>
          </w:p>
          <w:p w:rsidR="0090315A" w:rsidRPr="0090315A" w:rsidRDefault="0090315A" w:rsidP="0090315A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>Nationality: Yemen</w:t>
            </w:r>
          </w:p>
          <w:p w:rsidR="0090315A" w:rsidRPr="0090315A" w:rsidRDefault="0090315A" w:rsidP="0090315A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 xml:space="preserve">Address: </w:t>
            </w:r>
            <w:proofErr w:type="spellStart"/>
            <w:r w:rsidRPr="0090315A">
              <w:rPr>
                <w:rFonts w:ascii="Arial" w:hAnsi="Arial" w:cs="Arial"/>
                <w:sz w:val="24"/>
                <w:szCs w:val="24"/>
              </w:rPr>
              <w:t>Dahyan</w:t>
            </w:r>
            <w:proofErr w:type="spellEnd"/>
            <w:r w:rsidRPr="0090315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0315A">
              <w:rPr>
                <w:rFonts w:ascii="Arial" w:hAnsi="Arial" w:cs="Arial"/>
                <w:sz w:val="24"/>
                <w:szCs w:val="24"/>
              </w:rPr>
              <w:t>Sa’dah</w:t>
            </w:r>
            <w:proofErr w:type="spellEnd"/>
            <w:r w:rsidRPr="0090315A">
              <w:rPr>
                <w:rFonts w:ascii="Arial" w:hAnsi="Arial" w:cs="Arial"/>
                <w:sz w:val="24"/>
                <w:szCs w:val="24"/>
              </w:rPr>
              <w:t xml:space="preserve"> Governorate, Yemen.</w:t>
            </w:r>
          </w:p>
          <w:p w:rsidR="0090315A" w:rsidRPr="0090315A" w:rsidRDefault="0090315A" w:rsidP="0090315A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 xml:space="preserve">Position: </w:t>
            </w:r>
            <w:proofErr w:type="spellStart"/>
            <w:r w:rsidRPr="0090315A">
              <w:rPr>
                <w:rFonts w:ascii="Arial" w:hAnsi="Arial" w:cs="Arial"/>
                <w:sz w:val="24"/>
                <w:szCs w:val="24"/>
              </w:rPr>
              <w:t>Huthi</w:t>
            </w:r>
            <w:proofErr w:type="spellEnd"/>
            <w:r w:rsidRPr="0090315A">
              <w:rPr>
                <w:rFonts w:ascii="Arial" w:hAnsi="Arial" w:cs="Arial"/>
                <w:sz w:val="24"/>
                <w:szCs w:val="24"/>
              </w:rPr>
              <w:t xml:space="preserve"> group second-in-command</w:t>
            </w:r>
          </w:p>
          <w:p w:rsidR="0090315A" w:rsidRPr="0090315A" w:rsidRDefault="0090315A" w:rsidP="0090315A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>Other Information: Gender: male. Date of UN designation: 7.11.2014. As of early September 2014,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315A">
              <w:rPr>
                <w:rFonts w:ascii="Arial" w:hAnsi="Arial" w:cs="Arial"/>
                <w:sz w:val="24"/>
                <w:szCs w:val="24"/>
              </w:rPr>
              <w:t xml:space="preserve">Abdullah </w:t>
            </w:r>
            <w:proofErr w:type="spellStart"/>
            <w:r w:rsidRPr="0090315A">
              <w:rPr>
                <w:rFonts w:ascii="Arial" w:hAnsi="Arial" w:cs="Arial"/>
                <w:sz w:val="24"/>
                <w:szCs w:val="24"/>
              </w:rPr>
              <w:t>Yahya</w:t>
            </w:r>
            <w:proofErr w:type="spellEnd"/>
            <w:r w:rsidRPr="0090315A">
              <w:rPr>
                <w:rFonts w:ascii="Arial" w:hAnsi="Arial" w:cs="Arial"/>
                <w:sz w:val="24"/>
                <w:szCs w:val="24"/>
              </w:rPr>
              <w:t xml:space="preserve"> al Hakim remained in Sana’a.</w:t>
            </w:r>
          </w:p>
          <w:p w:rsidR="0090315A" w:rsidRDefault="0090315A" w:rsidP="0090315A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>Group ID: 13190.</w:t>
            </w:r>
          </w:p>
          <w:p w:rsidR="0090315A" w:rsidRPr="0090315A" w:rsidRDefault="0090315A" w:rsidP="0090315A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Pr="0090315A" w:rsidRDefault="0090315A" w:rsidP="0090315A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90315A">
              <w:rPr>
                <w:rFonts w:ascii="Arial" w:hAnsi="Arial" w:cs="Arial"/>
                <w:b/>
                <w:sz w:val="24"/>
                <w:szCs w:val="24"/>
              </w:rPr>
              <w:t xml:space="preserve">AL-HUTHI, </w:t>
            </w:r>
            <w:proofErr w:type="spellStart"/>
            <w:r w:rsidRPr="0090315A">
              <w:rPr>
                <w:rFonts w:ascii="Arial" w:hAnsi="Arial" w:cs="Arial"/>
                <w:b/>
                <w:sz w:val="24"/>
                <w:szCs w:val="24"/>
              </w:rPr>
              <w:t>Abd</w:t>
            </w:r>
            <w:proofErr w:type="spellEnd"/>
            <w:r w:rsidRPr="0090315A">
              <w:rPr>
                <w:rFonts w:ascii="Arial" w:hAnsi="Arial" w:cs="Arial"/>
                <w:b/>
                <w:sz w:val="24"/>
                <w:szCs w:val="24"/>
              </w:rPr>
              <w:t>, Al-</w:t>
            </w:r>
            <w:proofErr w:type="spellStart"/>
            <w:r w:rsidRPr="0090315A">
              <w:rPr>
                <w:rFonts w:ascii="Arial" w:hAnsi="Arial" w:cs="Arial"/>
                <w:b/>
                <w:sz w:val="24"/>
                <w:szCs w:val="24"/>
              </w:rPr>
              <w:t>Khaliq</w:t>
            </w:r>
            <w:proofErr w:type="spellEnd"/>
          </w:p>
          <w:p w:rsidR="0090315A" w:rsidRPr="0090315A" w:rsidRDefault="0090315A" w:rsidP="0090315A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>DOB: --/--/1984.</w:t>
            </w:r>
          </w:p>
          <w:p w:rsidR="0090315A" w:rsidRPr="0090315A" w:rsidRDefault="0090315A" w:rsidP="0090315A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315A">
              <w:rPr>
                <w:rFonts w:ascii="Arial" w:hAnsi="Arial" w:cs="Arial"/>
                <w:sz w:val="24"/>
                <w:szCs w:val="24"/>
              </w:rPr>
              <w:t>a.k.a</w:t>
            </w:r>
            <w:proofErr w:type="spellEnd"/>
            <w:r w:rsidRPr="0090315A">
              <w:rPr>
                <w:rFonts w:ascii="Arial" w:hAnsi="Arial" w:cs="Arial"/>
                <w:sz w:val="24"/>
                <w:szCs w:val="24"/>
              </w:rPr>
              <w:t>: (1) ABU-YUNUS</w:t>
            </w:r>
          </w:p>
          <w:p w:rsidR="0090315A" w:rsidRPr="0090315A" w:rsidRDefault="0090315A" w:rsidP="0090315A">
            <w:pPr>
              <w:spacing w:after="0" w:line="240" w:lineRule="auto"/>
              <w:ind w:left="90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 xml:space="preserve">(2) AL HUTHI, </w:t>
            </w:r>
            <w:proofErr w:type="spellStart"/>
            <w:r w:rsidRPr="0090315A">
              <w:rPr>
                <w:rFonts w:ascii="Arial" w:hAnsi="Arial" w:cs="Arial"/>
                <w:sz w:val="24"/>
                <w:szCs w:val="24"/>
              </w:rPr>
              <w:t>Abd</w:t>
            </w:r>
            <w:proofErr w:type="spellEnd"/>
            <w:r w:rsidRPr="0090315A">
              <w:rPr>
                <w:rFonts w:ascii="Arial" w:hAnsi="Arial" w:cs="Arial"/>
                <w:sz w:val="24"/>
                <w:szCs w:val="24"/>
              </w:rPr>
              <w:t>-al-</w:t>
            </w:r>
            <w:proofErr w:type="spellStart"/>
            <w:r w:rsidRPr="0090315A">
              <w:rPr>
                <w:rFonts w:ascii="Arial" w:hAnsi="Arial" w:cs="Arial"/>
                <w:sz w:val="24"/>
                <w:szCs w:val="24"/>
              </w:rPr>
              <w:t>Khaliq</w:t>
            </w:r>
            <w:proofErr w:type="spellEnd"/>
            <w:r w:rsidRPr="0090315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0315A">
              <w:rPr>
                <w:rFonts w:ascii="Arial" w:hAnsi="Arial" w:cs="Arial"/>
                <w:sz w:val="24"/>
                <w:szCs w:val="24"/>
              </w:rPr>
              <w:t>Badr</w:t>
            </w:r>
            <w:proofErr w:type="spellEnd"/>
            <w:r w:rsidRPr="0090315A">
              <w:rPr>
                <w:rFonts w:ascii="Arial" w:hAnsi="Arial" w:cs="Arial"/>
                <w:sz w:val="24"/>
                <w:szCs w:val="24"/>
              </w:rPr>
              <w:t>-al-Din</w:t>
            </w:r>
          </w:p>
          <w:p w:rsidR="0090315A" w:rsidRPr="0090315A" w:rsidRDefault="0090315A" w:rsidP="0090315A">
            <w:pPr>
              <w:spacing w:after="0" w:line="240" w:lineRule="auto"/>
              <w:ind w:left="90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>(3) AL-HUTHI, ‘</w:t>
            </w:r>
            <w:proofErr w:type="spellStart"/>
            <w:r w:rsidRPr="0090315A">
              <w:rPr>
                <w:rFonts w:ascii="Arial" w:hAnsi="Arial" w:cs="Arial"/>
                <w:sz w:val="24"/>
                <w:szCs w:val="24"/>
              </w:rPr>
              <w:t>Abd</w:t>
            </w:r>
            <w:proofErr w:type="spellEnd"/>
            <w:r w:rsidRPr="0090315A">
              <w:rPr>
                <w:rFonts w:ascii="Arial" w:hAnsi="Arial" w:cs="Arial"/>
                <w:sz w:val="24"/>
                <w:szCs w:val="24"/>
              </w:rPr>
              <w:t xml:space="preserve"> al-</w:t>
            </w:r>
            <w:proofErr w:type="spellStart"/>
            <w:r w:rsidRPr="0090315A">
              <w:rPr>
                <w:rFonts w:ascii="Arial" w:hAnsi="Arial" w:cs="Arial"/>
                <w:sz w:val="24"/>
                <w:szCs w:val="24"/>
              </w:rPr>
              <w:t>Khaliq</w:t>
            </w:r>
            <w:proofErr w:type="spellEnd"/>
            <w:r w:rsidRPr="0090315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0315A">
              <w:rPr>
                <w:rFonts w:ascii="Arial" w:hAnsi="Arial" w:cs="Arial"/>
                <w:sz w:val="24"/>
                <w:szCs w:val="24"/>
              </w:rPr>
              <w:t>Badr</w:t>
            </w:r>
            <w:proofErr w:type="spellEnd"/>
            <w:r w:rsidRPr="0090315A">
              <w:rPr>
                <w:rFonts w:ascii="Arial" w:hAnsi="Arial" w:cs="Arial"/>
                <w:sz w:val="24"/>
                <w:szCs w:val="24"/>
              </w:rPr>
              <w:t xml:space="preserve"> al-Din</w:t>
            </w:r>
          </w:p>
          <w:p w:rsidR="0090315A" w:rsidRPr="0090315A" w:rsidRDefault="0090315A" w:rsidP="0090315A">
            <w:pPr>
              <w:spacing w:after="0" w:line="240" w:lineRule="auto"/>
              <w:ind w:left="90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 xml:space="preserve">(4) AL-HUTHI, </w:t>
            </w:r>
            <w:proofErr w:type="spellStart"/>
            <w:r w:rsidRPr="0090315A">
              <w:rPr>
                <w:rFonts w:ascii="Arial" w:hAnsi="Arial" w:cs="Arial"/>
                <w:sz w:val="24"/>
                <w:szCs w:val="24"/>
              </w:rPr>
              <w:t>Abd</w:t>
            </w:r>
            <w:proofErr w:type="spellEnd"/>
            <w:r w:rsidRPr="0090315A">
              <w:rPr>
                <w:rFonts w:ascii="Arial" w:hAnsi="Arial" w:cs="Arial"/>
                <w:sz w:val="24"/>
                <w:szCs w:val="24"/>
              </w:rPr>
              <w:t>-al-</w:t>
            </w:r>
            <w:proofErr w:type="spellStart"/>
            <w:r w:rsidRPr="0090315A">
              <w:rPr>
                <w:rFonts w:ascii="Arial" w:hAnsi="Arial" w:cs="Arial"/>
                <w:sz w:val="24"/>
                <w:szCs w:val="24"/>
              </w:rPr>
              <w:t>Khaliq</w:t>
            </w:r>
            <w:proofErr w:type="spellEnd"/>
          </w:p>
          <w:p w:rsidR="0090315A" w:rsidRPr="0090315A" w:rsidRDefault="0090315A" w:rsidP="0090315A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>Nationality: Yemen</w:t>
            </w:r>
          </w:p>
          <w:p w:rsidR="0090315A" w:rsidRPr="0090315A" w:rsidRDefault="0090315A" w:rsidP="0090315A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 xml:space="preserve">Position: </w:t>
            </w:r>
            <w:proofErr w:type="spellStart"/>
            <w:r w:rsidRPr="0090315A">
              <w:rPr>
                <w:rFonts w:ascii="Arial" w:hAnsi="Arial" w:cs="Arial"/>
                <w:sz w:val="24"/>
                <w:szCs w:val="24"/>
              </w:rPr>
              <w:t>Huthi</w:t>
            </w:r>
            <w:proofErr w:type="spellEnd"/>
            <w:r w:rsidRPr="0090315A">
              <w:rPr>
                <w:rFonts w:ascii="Arial" w:hAnsi="Arial" w:cs="Arial"/>
                <w:sz w:val="24"/>
                <w:szCs w:val="24"/>
              </w:rPr>
              <w:t xml:space="preserve"> military commander</w:t>
            </w:r>
          </w:p>
          <w:p w:rsidR="0090315A" w:rsidRPr="0090315A" w:rsidRDefault="0090315A" w:rsidP="0090315A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>Other Information: Gender: Male. Date of UN designation: 7.11.2014.</w:t>
            </w:r>
          </w:p>
          <w:p w:rsidR="0090315A" w:rsidRDefault="0090315A" w:rsidP="0090315A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>Group ID: 13191.</w:t>
            </w:r>
          </w:p>
          <w:p w:rsidR="0090315A" w:rsidRPr="0090315A" w:rsidRDefault="0090315A" w:rsidP="0090315A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Pr="0090315A" w:rsidRDefault="0090315A" w:rsidP="0090315A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90315A">
              <w:rPr>
                <w:rFonts w:ascii="Arial" w:hAnsi="Arial" w:cs="Arial"/>
                <w:b/>
                <w:sz w:val="24"/>
                <w:szCs w:val="24"/>
              </w:rPr>
              <w:t>SALEH, Ali, Abdullah</w:t>
            </w:r>
          </w:p>
          <w:p w:rsidR="0090315A" w:rsidRPr="0090315A" w:rsidRDefault="0090315A" w:rsidP="0090315A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>DOB: (1) 21/03/1945.</w:t>
            </w:r>
          </w:p>
          <w:p w:rsidR="0090315A" w:rsidRPr="0090315A" w:rsidRDefault="0090315A" w:rsidP="0090315A">
            <w:pPr>
              <w:tabs>
                <w:tab w:val="left" w:pos="870"/>
              </w:tabs>
              <w:spacing w:after="0" w:line="240" w:lineRule="auto"/>
              <w:ind w:left="90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>(2) 21/03/1946.</w:t>
            </w:r>
          </w:p>
          <w:p w:rsidR="0090315A" w:rsidRPr="0090315A" w:rsidRDefault="0090315A" w:rsidP="0090315A">
            <w:pPr>
              <w:tabs>
                <w:tab w:val="left" w:pos="870"/>
              </w:tabs>
              <w:spacing w:after="0" w:line="240" w:lineRule="auto"/>
              <w:ind w:left="90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>(3) 21/03/1942.</w:t>
            </w:r>
          </w:p>
          <w:p w:rsidR="0090315A" w:rsidRPr="0090315A" w:rsidRDefault="0090315A" w:rsidP="0090315A">
            <w:pPr>
              <w:tabs>
                <w:tab w:val="left" w:pos="870"/>
              </w:tabs>
              <w:spacing w:after="0" w:line="240" w:lineRule="auto"/>
              <w:ind w:left="90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>(4) 21/03/1947.</w:t>
            </w:r>
          </w:p>
          <w:p w:rsidR="0090315A" w:rsidRPr="0090315A" w:rsidRDefault="0090315A" w:rsidP="0090315A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 xml:space="preserve">POB: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315A">
              <w:rPr>
                <w:rFonts w:ascii="Arial" w:hAnsi="Arial" w:cs="Arial"/>
                <w:sz w:val="24"/>
                <w:szCs w:val="24"/>
              </w:rPr>
              <w:t xml:space="preserve">1) </w:t>
            </w:r>
            <w:proofErr w:type="spellStart"/>
            <w:r w:rsidRPr="0090315A">
              <w:rPr>
                <w:rFonts w:ascii="Arial" w:hAnsi="Arial" w:cs="Arial"/>
                <w:sz w:val="24"/>
                <w:szCs w:val="24"/>
              </w:rPr>
              <w:t>Bayt</w:t>
            </w:r>
            <w:proofErr w:type="spellEnd"/>
            <w:r w:rsidRPr="0090315A">
              <w:rPr>
                <w:rFonts w:ascii="Arial" w:hAnsi="Arial" w:cs="Arial"/>
                <w:sz w:val="24"/>
                <w:szCs w:val="24"/>
              </w:rPr>
              <w:t xml:space="preserve"> al-</w:t>
            </w:r>
            <w:proofErr w:type="spellStart"/>
            <w:r w:rsidRPr="0090315A">
              <w:rPr>
                <w:rFonts w:ascii="Arial" w:hAnsi="Arial" w:cs="Arial"/>
                <w:sz w:val="24"/>
                <w:szCs w:val="24"/>
              </w:rPr>
              <w:t>Ahmar</w:t>
            </w:r>
            <w:proofErr w:type="spellEnd"/>
            <w:r w:rsidRPr="0090315A">
              <w:rPr>
                <w:rFonts w:ascii="Arial" w:hAnsi="Arial" w:cs="Arial"/>
                <w:sz w:val="24"/>
                <w:szCs w:val="24"/>
              </w:rPr>
              <w:t>, Sana’a Governorate</w:t>
            </w:r>
          </w:p>
          <w:p w:rsidR="0090315A" w:rsidRPr="0090315A" w:rsidRDefault="0090315A" w:rsidP="0090315A">
            <w:pPr>
              <w:spacing w:after="0" w:line="240" w:lineRule="auto"/>
              <w:ind w:left="90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 xml:space="preserve"> 2) Sana’a,</w:t>
            </w:r>
          </w:p>
          <w:p w:rsidR="0090315A" w:rsidRPr="0090315A" w:rsidRDefault="0090315A" w:rsidP="0090315A">
            <w:pPr>
              <w:spacing w:after="0" w:line="240" w:lineRule="auto"/>
              <w:ind w:left="90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 xml:space="preserve"> 3) Sana'a, </w:t>
            </w:r>
            <w:proofErr w:type="spellStart"/>
            <w:r w:rsidRPr="0090315A">
              <w:rPr>
                <w:rFonts w:ascii="Arial" w:hAnsi="Arial" w:cs="Arial"/>
                <w:sz w:val="24"/>
                <w:szCs w:val="24"/>
              </w:rPr>
              <w:t>Sanhan</w:t>
            </w:r>
            <w:proofErr w:type="spellEnd"/>
            <w:r w:rsidRPr="0090315A">
              <w:rPr>
                <w:rFonts w:ascii="Arial" w:hAnsi="Arial" w:cs="Arial"/>
                <w:sz w:val="24"/>
                <w:szCs w:val="24"/>
              </w:rPr>
              <w:t>, Al-Rib' al-</w:t>
            </w:r>
            <w:proofErr w:type="spellStart"/>
            <w:r w:rsidRPr="0090315A">
              <w:rPr>
                <w:rFonts w:ascii="Arial" w:hAnsi="Arial" w:cs="Arial"/>
                <w:sz w:val="24"/>
                <w:szCs w:val="24"/>
              </w:rPr>
              <w:t>Sharqi</w:t>
            </w:r>
            <w:proofErr w:type="spellEnd"/>
            <w:r w:rsidRPr="0090315A">
              <w:rPr>
                <w:rFonts w:ascii="Arial" w:hAnsi="Arial" w:cs="Arial"/>
                <w:sz w:val="24"/>
                <w:szCs w:val="24"/>
              </w:rPr>
              <w:t>, Yemen</w:t>
            </w:r>
          </w:p>
          <w:p w:rsidR="0090315A" w:rsidRPr="0090315A" w:rsidRDefault="0090315A" w:rsidP="0090315A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315A">
              <w:rPr>
                <w:rFonts w:ascii="Arial" w:hAnsi="Arial" w:cs="Arial"/>
                <w:sz w:val="24"/>
                <w:szCs w:val="24"/>
              </w:rPr>
              <w:t>a.k.a</w:t>
            </w:r>
            <w:proofErr w:type="spellEnd"/>
            <w:r w:rsidRPr="0090315A">
              <w:rPr>
                <w:rFonts w:ascii="Arial" w:hAnsi="Arial" w:cs="Arial"/>
                <w:sz w:val="24"/>
                <w:szCs w:val="24"/>
              </w:rPr>
              <w:t xml:space="preserve">: SALIH, Ali, </w:t>
            </w:r>
            <w:proofErr w:type="spellStart"/>
            <w:r w:rsidRPr="0090315A">
              <w:rPr>
                <w:rFonts w:ascii="Arial" w:hAnsi="Arial" w:cs="Arial"/>
                <w:sz w:val="24"/>
                <w:szCs w:val="24"/>
              </w:rPr>
              <w:t>Abdallah</w:t>
            </w:r>
            <w:proofErr w:type="spellEnd"/>
          </w:p>
          <w:p w:rsidR="0090315A" w:rsidRPr="0090315A" w:rsidRDefault="0090315A" w:rsidP="0090315A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>Nationality: Yemen</w:t>
            </w:r>
          </w:p>
          <w:p w:rsidR="0090315A" w:rsidRPr="0090315A" w:rsidRDefault="0090315A" w:rsidP="0090315A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lastRenderedPageBreak/>
              <w:t>Passport Details: 00016161 (Yemen)</w:t>
            </w:r>
          </w:p>
          <w:p w:rsidR="0090315A" w:rsidRPr="0090315A" w:rsidRDefault="0090315A" w:rsidP="0090315A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>National Identification no: 01010744444</w:t>
            </w:r>
          </w:p>
          <w:p w:rsidR="0090315A" w:rsidRPr="0090315A" w:rsidRDefault="0090315A" w:rsidP="0090315A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>Position: President of Yemen’s General People’s Congress party</w:t>
            </w:r>
          </w:p>
          <w:p w:rsidR="0090315A" w:rsidRPr="0090315A" w:rsidRDefault="0090315A" w:rsidP="0090315A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>Other Information: Former President of the Republic of Yemen. Gender: Male. Date of UN designation:</w:t>
            </w:r>
          </w:p>
          <w:p w:rsidR="0090315A" w:rsidRPr="0090315A" w:rsidRDefault="0090315A" w:rsidP="0090315A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>7.11.2014.</w:t>
            </w:r>
          </w:p>
          <w:p w:rsidR="0090315A" w:rsidRDefault="0090315A" w:rsidP="0090315A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5A">
              <w:rPr>
                <w:rFonts w:ascii="Arial" w:hAnsi="Arial" w:cs="Arial"/>
                <w:sz w:val="24"/>
                <w:szCs w:val="24"/>
              </w:rPr>
              <w:t>Group ID: 13192.</w:t>
            </w:r>
          </w:p>
          <w:p w:rsidR="0090315A" w:rsidRDefault="0090315A" w:rsidP="0090315A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Pr="0090315A" w:rsidRDefault="0090315A" w:rsidP="0090315A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15A" w:rsidRPr="0090315A" w:rsidRDefault="0090315A" w:rsidP="0090315A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315A">
              <w:rPr>
                <w:rFonts w:ascii="Arial" w:hAnsi="Arial" w:cs="Arial"/>
                <w:b/>
                <w:sz w:val="24"/>
                <w:szCs w:val="24"/>
              </w:rPr>
              <w:t>Financial Services Commission</w:t>
            </w:r>
          </w:p>
          <w:p w:rsidR="0090315A" w:rsidRPr="0090315A" w:rsidRDefault="0090315A" w:rsidP="0090315A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315A">
              <w:rPr>
                <w:rFonts w:ascii="Arial" w:hAnsi="Arial" w:cs="Arial"/>
                <w:b/>
                <w:sz w:val="24"/>
                <w:szCs w:val="24"/>
              </w:rPr>
              <w:t>19/12/2014</w:t>
            </w:r>
          </w:p>
          <w:p w:rsidR="009D5BD0" w:rsidRDefault="009D5BD0" w:rsidP="009D5BD0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5BD0" w:rsidRDefault="009D5BD0" w:rsidP="009D5BD0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58E3" w:rsidRDefault="000958E3" w:rsidP="003F73D0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58E3" w:rsidRDefault="000958E3" w:rsidP="003F73D0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58E3" w:rsidRDefault="000958E3" w:rsidP="003F73D0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58E3" w:rsidRDefault="000958E3" w:rsidP="003F73D0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58E3" w:rsidRDefault="000958E3" w:rsidP="003F73D0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58E3" w:rsidRDefault="000958E3" w:rsidP="003F73D0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58E3" w:rsidRDefault="000958E3" w:rsidP="003F73D0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58E3" w:rsidRDefault="000958E3" w:rsidP="003F73D0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58E3" w:rsidRDefault="000958E3" w:rsidP="003F73D0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58E3" w:rsidRDefault="000958E3" w:rsidP="003F73D0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58E3" w:rsidRDefault="000958E3" w:rsidP="003F73D0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58E3" w:rsidRDefault="000958E3" w:rsidP="003F73D0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58E3" w:rsidRDefault="000958E3" w:rsidP="003F73D0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58E3" w:rsidRDefault="000958E3" w:rsidP="003F73D0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58E3" w:rsidRDefault="000958E3" w:rsidP="003F73D0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58E3" w:rsidRPr="0012275B" w:rsidRDefault="000958E3" w:rsidP="009D5BD0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466A6" w:rsidRPr="009D5BD0" w:rsidRDefault="000466A6" w:rsidP="009D5B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466A6" w:rsidRPr="009D5BD0" w:rsidSect="007C3F0D">
      <w:pgSz w:w="12240" w:h="15840"/>
      <w:pgMar w:top="12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7444"/>
    <w:multiLevelType w:val="hybridMultilevel"/>
    <w:tmpl w:val="5374E9CA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41B6B"/>
    <w:multiLevelType w:val="hybridMultilevel"/>
    <w:tmpl w:val="2E3AAE48"/>
    <w:lvl w:ilvl="0" w:tplc="2409001B">
      <w:start w:val="1"/>
      <w:numFmt w:val="lowerRoman"/>
      <w:lvlText w:val="%1."/>
      <w:lvlJc w:val="righ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61D34"/>
    <w:multiLevelType w:val="hybridMultilevel"/>
    <w:tmpl w:val="0DF82624"/>
    <w:lvl w:ilvl="0" w:tplc="2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71B9"/>
    <w:rsid w:val="0000518F"/>
    <w:rsid w:val="00011693"/>
    <w:rsid w:val="00035665"/>
    <w:rsid w:val="00040DB5"/>
    <w:rsid w:val="000466A6"/>
    <w:rsid w:val="00050014"/>
    <w:rsid w:val="00057D74"/>
    <w:rsid w:val="00071616"/>
    <w:rsid w:val="00076AC4"/>
    <w:rsid w:val="000958E3"/>
    <w:rsid w:val="000F6055"/>
    <w:rsid w:val="000F7E28"/>
    <w:rsid w:val="00102FED"/>
    <w:rsid w:val="00115045"/>
    <w:rsid w:val="0012275B"/>
    <w:rsid w:val="001321E0"/>
    <w:rsid w:val="0013754B"/>
    <w:rsid w:val="001732A3"/>
    <w:rsid w:val="00193CCC"/>
    <w:rsid w:val="001975A7"/>
    <w:rsid w:val="001A7208"/>
    <w:rsid w:val="001D55F9"/>
    <w:rsid w:val="001D72F3"/>
    <w:rsid w:val="001E1DA4"/>
    <w:rsid w:val="001E4907"/>
    <w:rsid w:val="00200BC9"/>
    <w:rsid w:val="002104A3"/>
    <w:rsid w:val="0021324B"/>
    <w:rsid w:val="00215E48"/>
    <w:rsid w:val="00222F81"/>
    <w:rsid w:val="00224E2E"/>
    <w:rsid w:val="00225ED1"/>
    <w:rsid w:val="00250218"/>
    <w:rsid w:val="0025054F"/>
    <w:rsid w:val="00250A57"/>
    <w:rsid w:val="00260302"/>
    <w:rsid w:val="00260890"/>
    <w:rsid w:val="002779BB"/>
    <w:rsid w:val="0029147C"/>
    <w:rsid w:val="002A40EF"/>
    <w:rsid w:val="002A6C32"/>
    <w:rsid w:val="002C128A"/>
    <w:rsid w:val="002C2F1C"/>
    <w:rsid w:val="002D1D5F"/>
    <w:rsid w:val="002D6787"/>
    <w:rsid w:val="002D70CE"/>
    <w:rsid w:val="002D750C"/>
    <w:rsid w:val="002E2140"/>
    <w:rsid w:val="002F07E9"/>
    <w:rsid w:val="002F3883"/>
    <w:rsid w:val="002F518E"/>
    <w:rsid w:val="002F7439"/>
    <w:rsid w:val="003010BD"/>
    <w:rsid w:val="00302D41"/>
    <w:rsid w:val="003030AF"/>
    <w:rsid w:val="00305121"/>
    <w:rsid w:val="00307C2A"/>
    <w:rsid w:val="00344288"/>
    <w:rsid w:val="00374424"/>
    <w:rsid w:val="00376FE1"/>
    <w:rsid w:val="00381D34"/>
    <w:rsid w:val="00383BFA"/>
    <w:rsid w:val="003944DD"/>
    <w:rsid w:val="003B5286"/>
    <w:rsid w:val="003D2BBA"/>
    <w:rsid w:val="003D66AE"/>
    <w:rsid w:val="003D6FDE"/>
    <w:rsid w:val="003D7B68"/>
    <w:rsid w:val="003E6047"/>
    <w:rsid w:val="003F3D5E"/>
    <w:rsid w:val="003F5F98"/>
    <w:rsid w:val="003F73D0"/>
    <w:rsid w:val="00417A71"/>
    <w:rsid w:val="00424A69"/>
    <w:rsid w:val="0044173C"/>
    <w:rsid w:val="00442436"/>
    <w:rsid w:val="004440B0"/>
    <w:rsid w:val="00445816"/>
    <w:rsid w:val="00451F88"/>
    <w:rsid w:val="0046057D"/>
    <w:rsid w:val="0046737B"/>
    <w:rsid w:val="00473648"/>
    <w:rsid w:val="004771AF"/>
    <w:rsid w:val="0048062F"/>
    <w:rsid w:val="00480DB7"/>
    <w:rsid w:val="00482361"/>
    <w:rsid w:val="004862E3"/>
    <w:rsid w:val="004A2A88"/>
    <w:rsid w:val="004A47A3"/>
    <w:rsid w:val="004C1053"/>
    <w:rsid w:val="004E4E08"/>
    <w:rsid w:val="004E6D8E"/>
    <w:rsid w:val="005022D1"/>
    <w:rsid w:val="00514B26"/>
    <w:rsid w:val="00516473"/>
    <w:rsid w:val="00550C9D"/>
    <w:rsid w:val="00551EFB"/>
    <w:rsid w:val="00554081"/>
    <w:rsid w:val="00554F1D"/>
    <w:rsid w:val="005675B7"/>
    <w:rsid w:val="005705A9"/>
    <w:rsid w:val="005B3428"/>
    <w:rsid w:val="005B40D1"/>
    <w:rsid w:val="005D32C0"/>
    <w:rsid w:val="005E3464"/>
    <w:rsid w:val="0060448B"/>
    <w:rsid w:val="00610EEC"/>
    <w:rsid w:val="00622A8A"/>
    <w:rsid w:val="00627ADE"/>
    <w:rsid w:val="00637112"/>
    <w:rsid w:val="00655054"/>
    <w:rsid w:val="00660FA5"/>
    <w:rsid w:val="00667665"/>
    <w:rsid w:val="006717FF"/>
    <w:rsid w:val="0069209E"/>
    <w:rsid w:val="00697397"/>
    <w:rsid w:val="006B488B"/>
    <w:rsid w:val="006C74AF"/>
    <w:rsid w:val="006E2800"/>
    <w:rsid w:val="00701AB9"/>
    <w:rsid w:val="007055C9"/>
    <w:rsid w:val="00723706"/>
    <w:rsid w:val="007371B9"/>
    <w:rsid w:val="00752C6A"/>
    <w:rsid w:val="00766CB2"/>
    <w:rsid w:val="00794DEC"/>
    <w:rsid w:val="00796EA8"/>
    <w:rsid w:val="007A0964"/>
    <w:rsid w:val="007C3F0D"/>
    <w:rsid w:val="007D0208"/>
    <w:rsid w:val="007D37FB"/>
    <w:rsid w:val="007E76C8"/>
    <w:rsid w:val="007F1CCA"/>
    <w:rsid w:val="007F723A"/>
    <w:rsid w:val="0080586A"/>
    <w:rsid w:val="00810736"/>
    <w:rsid w:val="0081666D"/>
    <w:rsid w:val="0082712A"/>
    <w:rsid w:val="008276A0"/>
    <w:rsid w:val="00836CCA"/>
    <w:rsid w:val="00851E4F"/>
    <w:rsid w:val="008534E8"/>
    <w:rsid w:val="008615CB"/>
    <w:rsid w:val="00866044"/>
    <w:rsid w:val="0088443B"/>
    <w:rsid w:val="008915BD"/>
    <w:rsid w:val="008923E8"/>
    <w:rsid w:val="008D786D"/>
    <w:rsid w:val="00900D71"/>
    <w:rsid w:val="0090315A"/>
    <w:rsid w:val="00907566"/>
    <w:rsid w:val="009178E6"/>
    <w:rsid w:val="00926CF5"/>
    <w:rsid w:val="00957F65"/>
    <w:rsid w:val="009675F1"/>
    <w:rsid w:val="00970DC3"/>
    <w:rsid w:val="0099708A"/>
    <w:rsid w:val="009B2FE4"/>
    <w:rsid w:val="009B4140"/>
    <w:rsid w:val="009D240E"/>
    <w:rsid w:val="009D2788"/>
    <w:rsid w:val="009D5BD0"/>
    <w:rsid w:val="009F0B25"/>
    <w:rsid w:val="009F394F"/>
    <w:rsid w:val="00A02FA2"/>
    <w:rsid w:val="00A1165C"/>
    <w:rsid w:val="00A15ED0"/>
    <w:rsid w:val="00A169A1"/>
    <w:rsid w:val="00A25597"/>
    <w:rsid w:val="00A35CEE"/>
    <w:rsid w:val="00A37F7D"/>
    <w:rsid w:val="00A4378C"/>
    <w:rsid w:val="00A47A7C"/>
    <w:rsid w:val="00A605F3"/>
    <w:rsid w:val="00A6390C"/>
    <w:rsid w:val="00A7085C"/>
    <w:rsid w:val="00A73620"/>
    <w:rsid w:val="00A74EF3"/>
    <w:rsid w:val="00A90BE3"/>
    <w:rsid w:val="00A95BEB"/>
    <w:rsid w:val="00AB0C45"/>
    <w:rsid w:val="00AD228D"/>
    <w:rsid w:val="00AE7010"/>
    <w:rsid w:val="00AF3241"/>
    <w:rsid w:val="00AF584C"/>
    <w:rsid w:val="00AF66EF"/>
    <w:rsid w:val="00B00A63"/>
    <w:rsid w:val="00B02E1C"/>
    <w:rsid w:val="00B32F0D"/>
    <w:rsid w:val="00B519FE"/>
    <w:rsid w:val="00B77456"/>
    <w:rsid w:val="00B91EC1"/>
    <w:rsid w:val="00BB55CD"/>
    <w:rsid w:val="00BC3CD3"/>
    <w:rsid w:val="00BD1951"/>
    <w:rsid w:val="00BD20AC"/>
    <w:rsid w:val="00C00A8D"/>
    <w:rsid w:val="00C058D3"/>
    <w:rsid w:val="00C23E37"/>
    <w:rsid w:val="00C311E3"/>
    <w:rsid w:val="00C54BDF"/>
    <w:rsid w:val="00C54D52"/>
    <w:rsid w:val="00C56129"/>
    <w:rsid w:val="00C56BA5"/>
    <w:rsid w:val="00C56FF9"/>
    <w:rsid w:val="00C61E50"/>
    <w:rsid w:val="00C6402F"/>
    <w:rsid w:val="00C7246C"/>
    <w:rsid w:val="00C90C6F"/>
    <w:rsid w:val="00CA2A91"/>
    <w:rsid w:val="00CA3D1B"/>
    <w:rsid w:val="00CA5850"/>
    <w:rsid w:val="00CB4F89"/>
    <w:rsid w:val="00CB5DA3"/>
    <w:rsid w:val="00CE19CB"/>
    <w:rsid w:val="00CF4388"/>
    <w:rsid w:val="00CF4646"/>
    <w:rsid w:val="00D026B6"/>
    <w:rsid w:val="00D16A5F"/>
    <w:rsid w:val="00D254C6"/>
    <w:rsid w:val="00D30528"/>
    <w:rsid w:val="00D30AC0"/>
    <w:rsid w:val="00D32089"/>
    <w:rsid w:val="00D47B69"/>
    <w:rsid w:val="00D60562"/>
    <w:rsid w:val="00D63059"/>
    <w:rsid w:val="00D700FC"/>
    <w:rsid w:val="00D70C34"/>
    <w:rsid w:val="00D74901"/>
    <w:rsid w:val="00D808DE"/>
    <w:rsid w:val="00D80922"/>
    <w:rsid w:val="00D84710"/>
    <w:rsid w:val="00DB11A7"/>
    <w:rsid w:val="00DD7CD5"/>
    <w:rsid w:val="00DF2EDF"/>
    <w:rsid w:val="00E07765"/>
    <w:rsid w:val="00E138C8"/>
    <w:rsid w:val="00E15DC9"/>
    <w:rsid w:val="00E21282"/>
    <w:rsid w:val="00E216D8"/>
    <w:rsid w:val="00E36330"/>
    <w:rsid w:val="00E36941"/>
    <w:rsid w:val="00E41B37"/>
    <w:rsid w:val="00E432E6"/>
    <w:rsid w:val="00E823B6"/>
    <w:rsid w:val="00E8393C"/>
    <w:rsid w:val="00E95C1C"/>
    <w:rsid w:val="00E9601A"/>
    <w:rsid w:val="00EA0923"/>
    <w:rsid w:val="00ED7FAE"/>
    <w:rsid w:val="00EE4D5D"/>
    <w:rsid w:val="00EE7366"/>
    <w:rsid w:val="00EE7B04"/>
    <w:rsid w:val="00EF0E14"/>
    <w:rsid w:val="00EF2944"/>
    <w:rsid w:val="00EF36C6"/>
    <w:rsid w:val="00EF6299"/>
    <w:rsid w:val="00F26443"/>
    <w:rsid w:val="00F36709"/>
    <w:rsid w:val="00F40F31"/>
    <w:rsid w:val="00F50214"/>
    <w:rsid w:val="00F50B27"/>
    <w:rsid w:val="00F52D56"/>
    <w:rsid w:val="00F642A9"/>
    <w:rsid w:val="00F66849"/>
    <w:rsid w:val="00F77B17"/>
    <w:rsid w:val="00F80CAD"/>
    <w:rsid w:val="00F87328"/>
    <w:rsid w:val="00F9645F"/>
    <w:rsid w:val="00FA4679"/>
    <w:rsid w:val="00FB1385"/>
    <w:rsid w:val="00FD3707"/>
    <w:rsid w:val="00FD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D"/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71B9"/>
    <w:pPr>
      <w:autoSpaceDE w:val="0"/>
      <w:autoSpaceDN w:val="0"/>
      <w:adjustRightInd w:val="0"/>
      <w:spacing w:after="0" w:line="240" w:lineRule="auto"/>
    </w:pPr>
    <w:rPr>
      <w:rFonts w:ascii="Humnst777 BT" w:hAnsi="Humnst777 BT" w:cs="Humnst777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1B9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D75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B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7C"/>
    <w:rPr>
      <w:rFonts w:ascii="Tahoma" w:hAnsi="Tahoma" w:cs="Tahoma"/>
      <w:sz w:val="16"/>
      <w:szCs w:val="16"/>
      <w:lang w:val="en-0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EN/TXT/PDF/?uri=OJ:JOL_2014_365_R_0007&amp;from=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hyperlink" Target="https://www.gov.uk/government/publications/financial-sanctions-faq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un.org/sc/committe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uk/government/collections/financial-sanctions-regime-specificconsolidated-lists-and-releas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financial-sanctions-faq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54121-2E1E-41E0-9D67-D1003F85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Dunila Cuffy</dc:creator>
  <cp:lastModifiedBy>white-j</cp:lastModifiedBy>
  <cp:revision>6</cp:revision>
  <cp:lastPrinted>2015-01-05T16:35:00Z</cp:lastPrinted>
  <dcterms:created xsi:type="dcterms:W3CDTF">2015-01-07T15:47:00Z</dcterms:created>
  <dcterms:modified xsi:type="dcterms:W3CDTF">2015-01-07T15:57:00Z</dcterms:modified>
</cp:coreProperties>
</file>