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EF0E14">
        <w:trPr>
          <w:trHeight w:val="1890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EF0E14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EF0E14" w:rsidRDefault="002A40EF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="00344288">
                    <w:rPr>
                      <w:rFonts w:ascii="Arial" w:hAnsi="Arial" w:cs="Arial"/>
                    </w:rPr>
                    <w:t xml:space="preserve"> November</w:t>
                  </w:r>
                  <w:r w:rsidR="00102FED" w:rsidRPr="00EF0E14">
                    <w:rPr>
                      <w:rFonts w:ascii="Arial" w:hAnsi="Arial" w:cs="Arial"/>
                    </w:rPr>
                    <w:t xml:space="preserve"> 2014</w:t>
                  </w:r>
                  <w:r w:rsidR="002C128A">
                    <w:rPr>
                      <w:rFonts w:ascii="Arial" w:hAnsi="Arial" w:cs="Arial"/>
                    </w:rPr>
                    <w:t xml:space="preserve"> </w:t>
                  </w:r>
                </w:p>
                <w:p w:rsidR="00DB11A7" w:rsidRPr="00EF0E14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C74AF" w:rsidRPr="00EF0E14" w:rsidRDefault="006C74AF" w:rsidP="008923E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BDF" w:rsidRDefault="002A40EF" w:rsidP="008915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Iran (Nuclear Proliferation</w:t>
            </w:r>
            <w:r w:rsidR="0029147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8915BD" w:rsidRDefault="008915BD" w:rsidP="008915BD">
            <w:pPr>
              <w:spacing w:after="0" w:line="240" w:lineRule="auto"/>
              <w:ind w:right="-9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15BD" w:rsidRPr="00307C2A" w:rsidRDefault="008915BD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Council Regulation (EU) No 267/2012 </w:t>
            </w:r>
            <w:proofErr w:type="gramStart"/>
            <w:r w:rsidRPr="00307C2A">
              <w:rPr>
                <w:rFonts w:ascii="Arial" w:hAnsi="Arial" w:cs="Arial"/>
                <w:sz w:val="24"/>
                <w:szCs w:val="24"/>
              </w:rPr>
              <w:t>(“the Regulation”) imposing financial sanctions against Iran (Nuclear Proliferation) has</w:t>
            </w:r>
            <w:proofErr w:type="gramEnd"/>
            <w:r w:rsidRPr="00307C2A">
              <w:rPr>
                <w:rFonts w:ascii="Arial" w:hAnsi="Arial" w:cs="Arial"/>
                <w:sz w:val="24"/>
                <w:szCs w:val="24"/>
              </w:rPr>
              <w:t xml:space="preserve"> been amended so that an asset freeze now applies to one individual and two entities listed in the Annex to this Notice.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Identifying information for four entities listed in the Annex to this Notice has also been</w:t>
            </w:r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C2A">
              <w:rPr>
                <w:rFonts w:ascii="Arial" w:hAnsi="Arial" w:cs="Arial"/>
                <w:sz w:val="24"/>
                <w:szCs w:val="24"/>
              </w:rPr>
              <w:t>amended.</w:t>
            </w:r>
          </w:p>
          <w:p w:rsidR="00307C2A" w:rsidRPr="00307C2A" w:rsidRDefault="00307C2A" w:rsidP="008915BD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8915BD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</w:rPr>
              <w:t>Notice summary (Full details are provided in the Annex to this Notice)</w:t>
            </w:r>
          </w:p>
          <w:p w:rsidR="00307C2A" w:rsidRPr="00307C2A" w:rsidRDefault="00307C2A" w:rsidP="008915BD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The following entries have been added to the consolidated list and are now subject to an</w:t>
            </w:r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C2A">
              <w:rPr>
                <w:rFonts w:ascii="Arial" w:hAnsi="Arial" w:cs="Arial"/>
                <w:sz w:val="24"/>
                <w:szCs w:val="24"/>
              </w:rPr>
              <w:t>asset freeze.</w:t>
            </w:r>
          </w:p>
          <w:p w:rsidR="00307C2A" w:rsidRPr="00307C2A" w:rsidRDefault="00307C2A" w:rsidP="00307C2A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SHARIF UNIVERSITY OF TECHNOLOGY (Group ID: 12816)</w:t>
            </w: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SORINET COMMERCIAL TRUST BANKERS LTD. (SCT) (Group ID: 12827)</w:t>
            </w: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ZANJANI,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Babak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(Group ID: 12824)</w:t>
            </w:r>
          </w:p>
          <w:p w:rsidR="00307C2A" w:rsidRPr="00307C2A" w:rsidRDefault="00307C2A" w:rsidP="008915BD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8915BD" w:rsidRDefault="008915BD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The following entries have been amended:</w:t>
            </w:r>
          </w:p>
          <w:p w:rsidR="00307C2A" w:rsidRPr="00307C2A" w:rsidRDefault="00307C2A" w:rsidP="00307C2A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NAFTIRAN INTERTRADE COMPANY (Group ID: 12766)</w:t>
            </w: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NAFTIRAN INTERTRADE COMPANY SRL (Group ID: 12768)</w:t>
            </w: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POWER PLANTS' EQUIPMENT</w:t>
            </w:r>
            <w:r w:rsidR="00307C2A">
              <w:rPr>
                <w:rFonts w:ascii="Arial" w:hAnsi="Arial" w:cs="Arial"/>
                <w:sz w:val="24"/>
                <w:szCs w:val="24"/>
              </w:rPr>
              <w:t xml:space="preserve"> MANUFACTURING COMPANY (SAAKHTE </w:t>
            </w:r>
            <w:r w:rsidRPr="00307C2A">
              <w:rPr>
                <w:rFonts w:ascii="Arial" w:hAnsi="Arial" w:cs="Arial"/>
                <w:sz w:val="24"/>
                <w:szCs w:val="24"/>
              </w:rPr>
              <w:t>TAJHIZATE NIROOGAHI) (Group ID: 11212)</w:t>
            </w: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SINA BANK (Group ID: 11186)</w:t>
            </w:r>
          </w:p>
          <w:p w:rsidR="00307C2A" w:rsidRPr="00307C2A" w:rsidRDefault="00307C2A" w:rsidP="008915BD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8915BD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Pr="00307C2A">
              <w:rPr>
                <w:rFonts w:ascii="Arial" w:hAnsi="Arial" w:cs="Arial"/>
                <w:b/>
                <w:sz w:val="24"/>
                <w:szCs w:val="24"/>
                <w:u w:val="single"/>
              </w:rPr>
              <w:t>you</w:t>
            </w:r>
            <w:r w:rsidRPr="00307C2A">
              <w:rPr>
                <w:rFonts w:ascii="Arial" w:hAnsi="Arial" w:cs="Arial"/>
                <w:b/>
                <w:sz w:val="24"/>
                <w:szCs w:val="24"/>
              </w:rPr>
              <w:t xml:space="preserve"> must do</w:t>
            </w:r>
          </w:p>
          <w:p w:rsidR="00307C2A" w:rsidRPr="00307C2A" w:rsidRDefault="00307C2A" w:rsidP="008915BD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You must:</w:t>
            </w:r>
          </w:p>
          <w:p w:rsidR="00307C2A" w:rsidRPr="00307C2A" w:rsidRDefault="00307C2A" w:rsidP="00307C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Default="008915BD" w:rsidP="00307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check whether you maintain any accounts or hold any funds or economic resources for the persons set out in the Annex to this Notice;</w:t>
            </w:r>
          </w:p>
          <w:p w:rsidR="00307C2A" w:rsidRPr="00307C2A" w:rsidRDefault="00307C2A" w:rsidP="00307C2A">
            <w:pPr>
              <w:pStyle w:val="ListParagraph"/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Default="008915BD" w:rsidP="00307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lastRenderedPageBreak/>
              <w:t>freeze such accounts, and other funds or assets;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Default="008915BD" w:rsidP="00307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refrain from dealing with the funds or assets or making them available to such persons unless licensed by the Treasury;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Default="008915BD" w:rsidP="00307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report any findings to the Treasury, together with any additional information that would facilitate compliance with the Regulation</w:t>
            </w:r>
            <w:r w:rsidR="00307C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Default="008915BD" w:rsidP="00307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7C2A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307C2A">
              <w:rPr>
                <w:rFonts w:ascii="Arial" w:hAnsi="Arial" w:cs="Arial"/>
                <w:sz w:val="24"/>
                <w:szCs w:val="24"/>
              </w:rPr>
              <w:t xml:space="preserve"> any information concerning the frozen assets of designated persons that the Treasury may request. Information reported to the Treasury may be passed on to other regulatory authorities or law enforcement;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7C2A">
              <w:rPr>
                <w:rFonts w:ascii="Arial" w:hAnsi="Arial" w:cs="Arial"/>
                <w:sz w:val="24"/>
                <w:szCs w:val="24"/>
              </w:rPr>
              <w:t>where</w:t>
            </w:r>
            <w:proofErr w:type="gramEnd"/>
            <w:r w:rsidRPr="00307C2A">
              <w:rPr>
                <w:rFonts w:ascii="Arial" w:hAnsi="Arial" w:cs="Arial"/>
                <w:sz w:val="24"/>
                <w:szCs w:val="24"/>
              </w:rPr>
              <w:t xml:space="preserve"> a relevant institution has </w:t>
            </w:r>
            <w:r w:rsidRPr="00307C2A">
              <w:rPr>
                <w:rFonts w:ascii="Arial" w:hAnsi="Arial" w:cs="Arial"/>
                <w:sz w:val="24"/>
                <w:szCs w:val="24"/>
                <w:u w:val="single"/>
              </w:rPr>
              <w:t>already reported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 details of accounts, other funds or economic resources held frozen for designated persons, </w:t>
            </w:r>
            <w:r w:rsidRPr="00307C2A">
              <w:rPr>
                <w:rFonts w:ascii="Arial" w:hAnsi="Arial" w:cs="Arial"/>
                <w:sz w:val="24"/>
                <w:szCs w:val="24"/>
                <w:u w:val="single"/>
              </w:rPr>
              <w:t>they are not required to report these details again</w:t>
            </w:r>
            <w:r w:rsidRPr="00307C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Failure to comply with financial sanctions legislation or to seek to circumvent its provisions is a criminal offence.</w:t>
            </w:r>
          </w:p>
          <w:p w:rsidR="00307C2A" w:rsidRPr="00307C2A" w:rsidRDefault="00307C2A" w:rsidP="00307C2A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</w:rPr>
              <w:t>Legislative details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On 8 November 2014 Council Implementing Regulation (EU) No 1202/2014 (“the </w:t>
            </w:r>
          </w:p>
          <w:p w:rsidR="00307C2A" w:rsidRPr="00307C2A" w:rsidRDefault="008915BD" w:rsidP="00307C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Amending Regulation”) was published in the Official Journal of the European Union (O.J. L 325, 08.11.2014, p.3) by the Council of the European Union.</w:t>
            </w:r>
          </w:p>
          <w:p w:rsidR="008915BD" w:rsidRPr="00307C2A" w:rsidRDefault="008915BD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The Amending Regulation amended Annex IX to the Regulation with effect from 8 </w:t>
            </w:r>
          </w:p>
          <w:p w:rsidR="008915BD" w:rsidRPr="00307C2A" w:rsidRDefault="008915BD" w:rsidP="00307C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November 2014.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</w:rPr>
              <w:t>Further Information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5BD" w:rsidRPr="00307C2A" w:rsidRDefault="008915BD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A copy of the Regulation can be obtained from the Official Journal of the European Union website:</w:t>
            </w:r>
          </w:p>
          <w:p w:rsidR="008915BD" w:rsidRPr="00307C2A" w:rsidRDefault="00307C2A" w:rsidP="00307C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307C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http://eur-lex.europa.eu/legal-content/EN/TXT/PDF/?uri=OJ:JOL_2014_325_R_0002&amp;from=EN</w:t>
              </w:r>
            </w:hyperlink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307C2A" w:rsidRDefault="00307C2A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Copies of relevant Releases, certain EU Regulations, UNSC Resolutions and UK legislation can be obtained from the Iran (Nuclear Proliferation) Financial Sanctions page accessible via the GOV.UK website:</w:t>
            </w:r>
          </w:p>
          <w:p w:rsidR="00307C2A" w:rsidRPr="00307C2A" w:rsidRDefault="00307C2A" w:rsidP="00307C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307C2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https://www.gov.uk/government/collections/financial-sanctions-regime-specific-consolidated-lists-and-releases</w:t>
              </w:r>
            </w:hyperlink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307C2A" w:rsidRDefault="00307C2A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Further details on the UN measures in respect of Iran (Nuclear Proliferation) can be found on the relevant UN Sanctions Committee webpage:</w:t>
            </w:r>
          </w:p>
          <w:p w:rsidR="00307C2A" w:rsidRPr="00307C2A" w:rsidRDefault="00307C2A" w:rsidP="00307C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307C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http://www.un.org/sc/committees/</w:t>
              </w:r>
            </w:hyperlink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307C2A" w:rsidRDefault="00307C2A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Please note there are also import and export restrictions on Iran (Nuclear Proliferation) that can also involve restrictions on insurance, reinsurance, etc. Further guidance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C2A">
              <w:rPr>
                <w:rFonts w:ascii="Arial" w:hAnsi="Arial" w:cs="Arial"/>
                <w:sz w:val="24"/>
                <w:szCs w:val="24"/>
              </w:rPr>
              <w:t>export and trade sanctions is available from the GOV.UK website:</w:t>
            </w:r>
          </w:p>
          <w:p w:rsidR="00307C2A" w:rsidRPr="00307C2A" w:rsidRDefault="00307C2A" w:rsidP="00307C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307C2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https://www.gov.uk/sanctions-embargoes-and-restrictions</w:t>
              </w:r>
            </w:hyperlink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307C2A" w:rsidRDefault="00307C2A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Please see the FAQs for more information around financial sanctions:</w:t>
            </w:r>
          </w:p>
          <w:p w:rsidR="008915BD" w:rsidRPr="00307C2A" w:rsidRDefault="00307C2A" w:rsidP="00307C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307C2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307C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C54BDF" w:rsidRP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C54BDF" w:rsidRP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4BDF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</w:p>
          <w:p w:rsid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424A69" w:rsidRDefault="00AE7010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24A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24A69" w:rsidRPr="00424A69" w:rsidRDefault="00424A69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4A69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C54BDF" w:rsidRPr="00424A69" w:rsidRDefault="00307C2A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54BDF" w:rsidRPr="00424A69">
              <w:rPr>
                <w:rFonts w:ascii="Arial" w:hAnsi="Arial" w:cs="Arial"/>
                <w:b/>
                <w:sz w:val="24"/>
                <w:szCs w:val="24"/>
              </w:rPr>
              <w:t>/11/2014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010" w:rsidRDefault="00AE7010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307C2A" w:rsidRDefault="00307C2A" w:rsidP="00307C2A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ANNEX TO NOTICE</w:t>
            </w:r>
          </w:p>
          <w:p w:rsidR="00307C2A" w:rsidRPr="00307C2A" w:rsidRDefault="00307C2A" w:rsidP="00307C2A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</w:rPr>
              <w:t>FINANCIAL SANCTIONS: IRAN (NUCELAR PROLIFERATION)</w:t>
            </w:r>
          </w:p>
          <w:p w:rsidR="00307C2A" w:rsidRPr="00307C2A" w:rsidRDefault="00307C2A" w:rsidP="00307C2A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</w:rPr>
              <w:t>COUNCIL IMPLEMENTING REGULATION (EU) No 1202/2014</w:t>
            </w:r>
          </w:p>
          <w:p w:rsidR="00307C2A" w:rsidRPr="00307C2A" w:rsidRDefault="00307C2A" w:rsidP="00307C2A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</w:rPr>
              <w:t>AMENDING ANNEX IX TO COUNCIL REGULATION (EU) No 267/2012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307C2A" w:rsidRPr="00307C2A" w:rsidRDefault="00307C2A" w:rsidP="00307C2A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  <w:u w:val="single"/>
              </w:rPr>
              <w:t>ADDITIONS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07C2A" w:rsidRPr="00307C2A" w:rsidRDefault="00307C2A" w:rsidP="00307C2A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  <w:u w:val="single"/>
              </w:rPr>
              <w:t>Individual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</w:rPr>
              <w:t xml:space="preserve">1. ZANJANI, </w:t>
            </w:r>
            <w:proofErr w:type="spellStart"/>
            <w:r w:rsidRPr="00307C2A">
              <w:rPr>
                <w:rFonts w:ascii="Arial" w:hAnsi="Arial" w:cs="Arial"/>
                <w:b/>
                <w:sz w:val="24"/>
                <w:szCs w:val="24"/>
              </w:rPr>
              <w:t>Babak</w:t>
            </w:r>
            <w:proofErr w:type="spellEnd"/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DOB: 12/03/1971.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Other Information: EU listing. Not UN. He has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d support for the financing of 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transactions in Iranian crude oil conducted by the Iranian Ministry of Petroleum,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307C2A">
              <w:rPr>
                <w:rFonts w:ascii="Arial" w:hAnsi="Arial" w:cs="Arial"/>
                <w:sz w:val="24"/>
                <w:szCs w:val="24"/>
              </w:rPr>
              <w:t>designated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by the EU. He has assisted th</w:t>
            </w:r>
            <w:r>
              <w:rPr>
                <w:rFonts w:ascii="Arial" w:hAnsi="Arial" w:cs="Arial"/>
                <w:sz w:val="24"/>
                <w:szCs w:val="24"/>
              </w:rPr>
              <w:t xml:space="preserve">e Central Bank of Iran and the </w:t>
            </w:r>
            <w:r w:rsidRPr="00307C2A">
              <w:rPr>
                <w:rFonts w:ascii="Arial" w:hAnsi="Arial" w:cs="Arial"/>
                <w:sz w:val="24"/>
                <w:szCs w:val="24"/>
              </w:rPr>
              <w:t>National Iranian Oil Company (NIOC) to evade the EU'</w:t>
            </w:r>
            <w:r>
              <w:rPr>
                <w:rFonts w:ascii="Arial" w:hAnsi="Arial" w:cs="Arial"/>
                <w:sz w:val="24"/>
                <w:szCs w:val="24"/>
              </w:rPr>
              <w:t xml:space="preserve">s restrictive measures. He has 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made transfers of oil-related funds through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Naftiran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Intertrade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Company (NICO) and 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Hong Kong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Intertrade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>. He has enabled transfers of f</w:t>
            </w:r>
            <w:r>
              <w:rPr>
                <w:rFonts w:ascii="Arial" w:hAnsi="Arial" w:cs="Arial"/>
                <w:sz w:val="24"/>
                <w:szCs w:val="24"/>
              </w:rPr>
              <w:t xml:space="preserve">unds for the benefit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Khatam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C2A">
              <w:rPr>
                <w:rFonts w:ascii="Arial" w:hAnsi="Arial" w:cs="Arial"/>
                <w:sz w:val="24"/>
                <w:szCs w:val="24"/>
              </w:rPr>
              <w:t>al-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Anbiya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, an IRGC-owned company.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Group ID: 12824.</w:t>
            </w:r>
          </w:p>
          <w:p w:rsid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7C2A">
              <w:rPr>
                <w:rFonts w:ascii="Arial" w:hAnsi="Arial" w:cs="Arial"/>
                <w:b/>
                <w:sz w:val="24"/>
                <w:szCs w:val="24"/>
                <w:u w:val="single"/>
              </w:rPr>
              <w:t>Entities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836CC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CCA">
              <w:rPr>
                <w:rFonts w:ascii="Arial" w:hAnsi="Arial" w:cs="Arial"/>
                <w:b/>
                <w:sz w:val="24"/>
                <w:szCs w:val="24"/>
              </w:rPr>
              <w:t>1. SHARIF UNIVERSITY OF TECHNOLOGY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Azadi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Ave/Street, PO Box 11365-11155, Tehran, Iran.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Other Information: EU listing. Not UN. Tel 98 21 66 161. Fax 98 2166036005.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Website www.sharif.ir. Email: info@sharif.ir. </w:t>
            </w:r>
          </w:p>
          <w:p w:rsid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Group ID: 12816.</w:t>
            </w: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836CC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CCA">
              <w:rPr>
                <w:rFonts w:ascii="Arial" w:hAnsi="Arial" w:cs="Arial"/>
                <w:b/>
                <w:sz w:val="24"/>
                <w:szCs w:val="24"/>
              </w:rPr>
              <w:t>2. SORINET COMMERCIAL TRUST BANKERS LTD. (SCT)</w:t>
            </w:r>
          </w:p>
          <w:p w:rsidR="00307C2A" w:rsidRP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: (1) SCT BANKERS </w:t>
            </w:r>
          </w:p>
          <w:p w:rsidR="00307C2A" w:rsidRPr="00307C2A" w:rsidRDefault="00CF4646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(2) SCT BANKERS COMPANY BRANCH </w:t>
            </w:r>
          </w:p>
          <w:p w:rsidR="00307C2A" w:rsidRPr="00307C2A" w:rsidRDefault="00CF4646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(3) SCT BANKERS KISH COMPANY (PJS) </w:t>
            </w:r>
          </w:p>
          <w:p w:rsidR="00307C2A" w:rsidRPr="00307C2A" w:rsidRDefault="00CF4646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(4) SORINET COMMERICAL TRUST BANKERS </w:t>
            </w:r>
          </w:p>
          <w:p w:rsidR="00307C2A" w:rsidRP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Address: (1) Tehran Branch,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Reahi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Aiiey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, First of </w:t>
            </w:r>
            <w:r w:rsidR="00CF4646">
              <w:rPr>
                <w:rFonts w:ascii="Arial" w:hAnsi="Arial" w:cs="Arial"/>
                <w:sz w:val="24"/>
                <w:szCs w:val="24"/>
              </w:rPr>
              <w:t xml:space="preserve">Karaj, </w:t>
            </w:r>
            <w:proofErr w:type="spellStart"/>
            <w:r w:rsidR="00CF4646">
              <w:rPr>
                <w:rFonts w:ascii="Arial" w:hAnsi="Arial" w:cs="Arial"/>
                <w:sz w:val="24"/>
                <w:szCs w:val="24"/>
              </w:rPr>
              <w:t>Maksous</w:t>
            </w:r>
            <w:proofErr w:type="spellEnd"/>
            <w:r w:rsidR="00CF4646">
              <w:rPr>
                <w:rFonts w:ascii="Arial" w:hAnsi="Arial" w:cs="Arial"/>
                <w:sz w:val="24"/>
                <w:szCs w:val="24"/>
              </w:rPr>
              <w:t xml:space="preserve"> Road 9, Tehran, 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Iran. </w:t>
            </w:r>
          </w:p>
          <w:p w:rsidR="00307C2A" w:rsidRPr="00307C2A" w:rsidRDefault="00CF4646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(2) </w:t>
            </w:r>
            <w:proofErr w:type="spellStart"/>
            <w:r w:rsidR="00307C2A" w:rsidRPr="00307C2A">
              <w:rPr>
                <w:rFonts w:ascii="Arial" w:hAnsi="Arial" w:cs="Arial"/>
                <w:sz w:val="24"/>
                <w:szCs w:val="24"/>
              </w:rPr>
              <w:t>Sorinet</w:t>
            </w:r>
            <w:proofErr w:type="spellEnd"/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 Commercial Trust Bankers, </w:t>
            </w:r>
            <w:proofErr w:type="spellStart"/>
            <w:r w:rsidR="00307C2A" w:rsidRPr="00307C2A">
              <w:rPr>
                <w:rFonts w:ascii="Arial" w:hAnsi="Arial" w:cs="Arial"/>
                <w:sz w:val="24"/>
                <w:szCs w:val="24"/>
              </w:rPr>
              <w:t>Sadaf</w:t>
            </w:r>
            <w:proofErr w:type="spellEnd"/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 Tower, 3rd Floor, Suite 301, Kish Island, Iran. </w:t>
            </w:r>
          </w:p>
          <w:p w:rsidR="00307C2A" w:rsidRPr="00307C2A" w:rsidRDefault="00CF4646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(3) </w:t>
            </w:r>
            <w:proofErr w:type="spellStart"/>
            <w:r w:rsidR="00307C2A" w:rsidRPr="00307C2A">
              <w:rPr>
                <w:rFonts w:ascii="Arial" w:hAnsi="Arial" w:cs="Arial"/>
                <w:sz w:val="24"/>
                <w:szCs w:val="24"/>
              </w:rPr>
              <w:t>Sorinet</w:t>
            </w:r>
            <w:proofErr w:type="spellEnd"/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 Commercial Trust Bankers, No. 1808, 18th Floor, Grosvenor </w:t>
            </w:r>
          </w:p>
          <w:p w:rsidR="00307C2A" w:rsidRP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House, Commercial Tower, Sheikh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Zayed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Road, Dubai, P.O. Box 31988, UAE. </w:t>
            </w:r>
          </w:p>
          <w:p w:rsidR="00307C2A" w:rsidRP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Other Information: EU listing. Not UN. SWIFT codes: SCERIRTH KSH (Kish Island </w:t>
            </w:r>
          </w:p>
          <w:p w:rsidR="00307C2A" w:rsidRP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Branch), SCTSAEA1 (Dubai branch), SCERIRTH (Tehran branch). </w:t>
            </w:r>
          </w:p>
          <w:p w:rsidR="00307C2A" w:rsidRP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Alternative address for Kish Island branch: Kish Banking Fin Activities Centre, No. 42, </w:t>
            </w:r>
          </w:p>
          <w:p w:rsidR="00307C2A" w:rsidRP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4th floor, VC25 Tel: 09347695504 (Kish Island Branch). </w:t>
            </w:r>
          </w:p>
          <w:p w:rsidR="00307C2A" w:rsidRP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Alternative addresses for Dubai Branch: </w:t>
            </w:r>
          </w:p>
          <w:p w:rsidR="00307C2A" w:rsidRPr="00307C2A" w:rsidRDefault="00CF4646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a. SCT Bankers Kish Company (PJS), Head Office, Kish Island, </w:t>
            </w:r>
            <w:proofErr w:type="spellStart"/>
            <w:r w:rsidR="00307C2A" w:rsidRPr="00307C2A">
              <w:rPr>
                <w:rFonts w:ascii="Arial" w:hAnsi="Arial" w:cs="Arial"/>
                <w:sz w:val="24"/>
                <w:szCs w:val="24"/>
              </w:rPr>
              <w:t>Sadaf</w:t>
            </w:r>
            <w:proofErr w:type="spellEnd"/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 Tower, 3rd floor, Suite 301, PO Box 87. </w:t>
            </w:r>
          </w:p>
          <w:p w:rsidR="00307C2A" w:rsidRPr="00307C2A" w:rsidRDefault="00CF4646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="00307C2A" w:rsidRPr="00307C2A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07C2A" w:rsidRPr="00307C2A">
              <w:rPr>
                <w:rFonts w:ascii="Arial" w:hAnsi="Arial" w:cs="Arial"/>
                <w:sz w:val="24"/>
                <w:szCs w:val="24"/>
              </w:rPr>
              <w:t>Sheykh</w:t>
            </w:r>
            <w:proofErr w:type="spellEnd"/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7C2A" w:rsidRPr="00307C2A">
              <w:rPr>
                <w:rFonts w:ascii="Arial" w:hAnsi="Arial" w:cs="Arial"/>
                <w:sz w:val="24"/>
                <w:szCs w:val="24"/>
              </w:rPr>
              <w:t>Admad</w:t>
            </w:r>
            <w:proofErr w:type="spellEnd"/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07C2A" w:rsidRPr="00307C2A">
              <w:rPr>
                <w:rFonts w:ascii="Arial" w:hAnsi="Arial" w:cs="Arial"/>
                <w:sz w:val="24"/>
                <w:szCs w:val="24"/>
              </w:rPr>
              <w:t>Sheykh</w:t>
            </w:r>
            <w:proofErr w:type="spellEnd"/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7C2A" w:rsidRPr="00307C2A">
              <w:rPr>
                <w:rFonts w:ascii="Arial" w:hAnsi="Arial" w:cs="Arial"/>
                <w:sz w:val="24"/>
                <w:szCs w:val="24"/>
              </w:rPr>
              <w:t>Zayed</w:t>
            </w:r>
            <w:proofErr w:type="spellEnd"/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 Road, 31988, Dubai, Port, Kish Island. </w:t>
            </w:r>
          </w:p>
          <w:p w:rsidR="00307C2A" w:rsidRP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lastRenderedPageBreak/>
              <w:t>Tel: 09347695504/97-143257022-99 (Dubai bra</w:t>
            </w:r>
            <w:r w:rsidR="00836CCA">
              <w:rPr>
                <w:rFonts w:ascii="Arial" w:hAnsi="Arial" w:cs="Arial"/>
                <w:sz w:val="24"/>
                <w:szCs w:val="24"/>
              </w:rPr>
              <w:t xml:space="preserve">nch). Tel: 09347695504 (Tehran </w:t>
            </w:r>
            <w:r w:rsidRPr="00307C2A">
              <w:rPr>
                <w:rFonts w:ascii="Arial" w:hAnsi="Arial" w:cs="Arial"/>
                <w:sz w:val="24"/>
                <w:szCs w:val="24"/>
              </w:rPr>
              <w:t>branch). E-mail info@sctbankers.com. zanjani@sctb</w:t>
            </w:r>
            <w:r w:rsidR="00836CCA">
              <w:rPr>
                <w:rFonts w:ascii="Arial" w:hAnsi="Arial" w:cs="Arial"/>
                <w:sz w:val="24"/>
                <w:szCs w:val="24"/>
              </w:rPr>
              <w:t xml:space="preserve">ankers.com. </w:t>
            </w:r>
            <w:proofErr w:type="spellStart"/>
            <w:r w:rsidR="00836CCA">
              <w:rPr>
                <w:rFonts w:ascii="Arial" w:hAnsi="Arial" w:cs="Arial"/>
                <w:sz w:val="24"/>
                <w:szCs w:val="24"/>
              </w:rPr>
              <w:t>Sorinet</w:t>
            </w:r>
            <w:proofErr w:type="spellEnd"/>
            <w:r w:rsidR="00836CCA">
              <w:rPr>
                <w:rFonts w:ascii="Arial" w:hAnsi="Arial" w:cs="Arial"/>
                <w:sz w:val="24"/>
                <w:szCs w:val="24"/>
              </w:rPr>
              <w:t xml:space="preserve"> Commercial 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Trust Bankers Ltd. is controlled by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Babak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Zanjani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>, w</w:t>
            </w:r>
            <w:r w:rsidR="00836CCA">
              <w:rPr>
                <w:rFonts w:ascii="Arial" w:hAnsi="Arial" w:cs="Arial"/>
                <w:sz w:val="24"/>
                <w:szCs w:val="24"/>
              </w:rPr>
              <w:t xml:space="preserve">ho is designated for providing 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financial support to the Government of Iran by facilitating oil payments on its behalf. </w:t>
            </w:r>
          </w:p>
          <w:p w:rsidR="00307C2A" w:rsidRDefault="00307C2A" w:rsidP="00836CCA">
            <w:pPr>
              <w:tabs>
                <w:tab w:val="left" w:pos="270"/>
              </w:tabs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Group ID: 12827.</w:t>
            </w:r>
          </w:p>
          <w:p w:rsidR="00CF4646" w:rsidRPr="00307C2A" w:rsidRDefault="00CF4646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CF4646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4646">
              <w:rPr>
                <w:rFonts w:ascii="Arial" w:hAnsi="Arial" w:cs="Arial"/>
                <w:b/>
                <w:sz w:val="24"/>
                <w:szCs w:val="24"/>
                <w:u w:val="single"/>
              </w:rPr>
              <w:t>AMENDMENTS</w:t>
            </w:r>
          </w:p>
          <w:p w:rsidR="00CF4646" w:rsidRPr="00307C2A" w:rsidRDefault="00CF4646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Deleted information appears in strikethrough. Additional info</w:t>
            </w:r>
            <w:r w:rsidR="00836CCA">
              <w:rPr>
                <w:rFonts w:ascii="Arial" w:hAnsi="Arial" w:cs="Arial"/>
                <w:sz w:val="24"/>
                <w:szCs w:val="24"/>
              </w:rPr>
              <w:t xml:space="preserve">rmation appears in italics and </w:t>
            </w:r>
            <w:r w:rsidRPr="00307C2A">
              <w:rPr>
                <w:rFonts w:ascii="Arial" w:hAnsi="Arial" w:cs="Arial"/>
                <w:sz w:val="24"/>
                <w:szCs w:val="24"/>
              </w:rPr>
              <w:t>is underlined.</w:t>
            </w:r>
          </w:p>
          <w:p w:rsidR="00CF4646" w:rsidRPr="00307C2A" w:rsidRDefault="00CF4646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CF4646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4646">
              <w:rPr>
                <w:rFonts w:ascii="Arial" w:hAnsi="Arial" w:cs="Arial"/>
                <w:b/>
                <w:sz w:val="24"/>
                <w:szCs w:val="24"/>
                <w:u w:val="single"/>
              </w:rPr>
              <w:t>Entities</w:t>
            </w:r>
          </w:p>
          <w:p w:rsidR="00CF4646" w:rsidRPr="00307C2A" w:rsidRDefault="00CF4646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307C2A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646">
              <w:rPr>
                <w:rFonts w:ascii="Arial" w:hAnsi="Arial" w:cs="Arial"/>
                <w:b/>
                <w:sz w:val="24"/>
                <w:szCs w:val="24"/>
              </w:rPr>
              <w:t xml:space="preserve">1. NAFTIRAN INTERTRADE COMPANY </w:t>
            </w:r>
            <w:r w:rsidRPr="00CF4646">
              <w:rPr>
                <w:rFonts w:ascii="Arial" w:hAnsi="Arial" w:cs="Arial"/>
                <w:b/>
                <w:strike/>
                <w:sz w:val="24"/>
                <w:szCs w:val="24"/>
              </w:rPr>
              <w:t>(NICO</w:t>
            </w:r>
            <w:r w:rsidRPr="00CF4646">
              <w:rPr>
                <w:rFonts w:ascii="Arial" w:hAnsi="Arial" w:cs="Arial"/>
                <w:strike/>
                <w:sz w:val="24"/>
                <w:szCs w:val="24"/>
              </w:rPr>
              <w:t>)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: NAFTIRAN TRADE COMPANY (NICO) </w:t>
            </w:r>
          </w:p>
          <w:p w:rsidR="00307C2A" w:rsidRPr="00836CC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Address: (1) </w:t>
            </w: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5th Floor, </w:t>
            </w:r>
            <w:proofErr w:type="spellStart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Petropars</w:t>
            </w:r>
            <w:proofErr w:type="spellEnd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 Building, No. 35 </w:t>
            </w:r>
            <w:proofErr w:type="spellStart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Farhang</w:t>
            </w:r>
            <w:proofErr w:type="spellEnd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 Boulevard, </w:t>
            </w:r>
            <w:proofErr w:type="spellStart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Snadat</w:t>
            </w:r>
            <w:proofErr w:type="spellEnd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307C2A" w:rsidRPr="00836CCA" w:rsidRDefault="00836CC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6CCA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307C2A" w:rsidRPr="00836CCA">
              <w:rPr>
                <w:rFonts w:ascii="Arial" w:hAnsi="Arial" w:cs="Arial"/>
                <w:sz w:val="24"/>
                <w:szCs w:val="24"/>
                <w:u w:val="single"/>
              </w:rPr>
              <w:t>Abad Avenue, Tehran, Iran</w:t>
            </w:r>
          </w:p>
          <w:p w:rsidR="00307C2A" w:rsidRPr="00307C2A" w:rsidRDefault="00836CC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07C2A" w:rsidRPr="00307C2A">
              <w:rPr>
                <w:rFonts w:ascii="Arial" w:hAnsi="Arial" w:cs="Arial"/>
                <w:sz w:val="24"/>
                <w:szCs w:val="24"/>
              </w:rPr>
              <w:t xml:space="preserve">(2) </w:t>
            </w:r>
            <w:r w:rsidR="00307C2A"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Suite 17, Burlington House, St. Saviours Road, St. </w:t>
            </w:r>
            <w:proofErr w:type="spellStart"/>
            <w:r w:rsidR="00307C2A" w:rsidRPr="00836CCA">
              <w:rPr>
                <w:rFonts w:ascii="Arial" w:hAnsi="Arial" w:cs="Arial"/>
                <w:sz w:val="24"/>
                <w:szCs w:val="24"/>
                <w:u w:val="single"/>
              </w:rPr>
              <w:t>Helier</w:t>
            </w:r>
            <w:proofErr w:type="spellEnd"/>
            <w:r w:rsidR="00307C2A" w:rsidRPr="00836CCA">
              <w:rPr>
                <w:rFonts w:ascii="Arial" w:hAnsi="Arial" w:cs="Arial"/>
                <w:sz w:val="24"/>
                <w:szCs w:val="24"/>
                <w:u w:val="single"/>
              </w:rPr>
              <w:t>, Jersey, UK</w:t>
            </w:r>
          </w:p>
          <w:p w:rsidR="00307C2A" w:rsidRPr="00836CC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836CCA">
              <w:rPr>
                <w:rFonts w:ascii="Arial" w:hAnsi="Arial" w:cs="Arial"/>
                <w:strike/>
                <w:sz w:val="24"/>
                <w:szCs w:val="24"/>
              </w:rPr>
              <w:t xml:space="preserve">OG 1, International House, The Parade, St. </w:t>
            </w:r>
            <w:proofErr w:type="spellStart"/>
            <w:r w:rsidRPr="00836CCA">
              <w:rPr>
                <w:rFonts w:ascii="Arial" w:hAnsi="Arial" w:cs="Arial"/>
                <w:strike/>
                <w:sz w:val="24"/>
                <w:szCs w:val="24"/>
              </w:rPr>
              <w:t>Helier</w:t>
            </w:r>
            <w:proofErr w:type="spellEnd"/>
            <w:r w:rsidRPr="00836CCA">
              <w:rPr>
                <w:rFonts w:ascii="Arial" w:hAnsi="Arial" w:cs="Arial"/>
                <w:strike/>
                <w:sz w:val="24"/>
                <w:szCs w:val="24"/>
              </w:rPr>
              <w:t>, Jersey, UK, JE2 3QQ.</w:t>
            </w:r>
          </w:p>
          <w:p w:rsidR="00307C2A" w:rsidRPr="00836CC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Other Information: EU Listed. Not UN. </w:t>
            </w:r>
            <w:r w:rsidRPr="00836CCA">
              <w:rPr>
                <w:rFonts w:ascii="Arial" w:hAnsi="Arial" w:cs="Arial"/>
                <w:strike/>
                <w:sz w:val="24"/>
                <w:szCs w:val="24"/>
              </w:rPr>
              <w:t>Tel. (+41) 213106565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Tel: +98 21 22372486; </w:t>
            </w:r>
          </w:p>
          <w:p w:rsidR="00307C2A" w:rsidRPr="00836CC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+98 21 22374681; +98 21 22374678; Fax: +98 21 22374678; +98 21 22372481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Email: info@naftiran.com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 Subsidiary (100%) of the National Iranian Oil Company (NIOC). </w:t>
            </w:r>
          </w:p>
          <w:p w:rsid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Group ID: 12766.</w:t>
            </w:r>
          </w:p>
          <w:p w:rsidR="00CF4646" w:rsidRPr="00307C2A" w:rsidRDefault="00CF4646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CF4646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646">
              <w:rPr>
                <w:rFonts w:ascii="Arial" w:hAnsi="Arial" w:cs="Arial"/>
                <w:b/>
                <w:sz w:val="24"/>
                <w:szCs w:val="24"/>
              </w:rPr>
              <w:t>2. NAFTIRAN INTERTRADE COMPANY SRL</w:t>
            </w:r>
          </w:p>
          <w:p w:rsidR="00307C2A" w:rsidRPr="00836CC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Avenue de la Tour-</w:t>
            </w:r>
            <w:proofErr w:type="spellStart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Haldimand</w:t>
            </w:r>
            <w:proofErr w:type="spellEnd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, 6, 1009 </w:t>
            </w:r>
            <w:proofErr w:type="spellStart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Pully</w:t>
            </w:r>
            <w:proofErr w:type="spellEnd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, Switzerland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CCA">
              <w:rPr>
                <w:rFonts w:ascii="Arial" w:hAnsi="Arial" w:cs="Arial"/>
                <w:strike/>
                <w:sz w:val="24"/>
                <w:szCs w:val="24"/>
              </w:rPr>
              <w:t>Sarl</w:t>
            </w:r>
            <w:proofErr w:type="spellEnd"/>
            <w:r w:rsidRPr="00836CCA">
              <w:rPr>
                <w:rFonts w:ascii="Arial" w:hAnsi="Arial" w:cs="Arial"/>
                <w:strike/>
                <w:sz w:val="24"/>
                <w:szCs w:val="24"/>
              </w:rPr>
              <w:t xml:space="preserve"> Ave, De la </w:t>
            </w:r>
          </w:p>
          <w:p w:rsidR="00307C2A" w:rsidRPr="00836CC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836CCA">
              <w:rPr>
                <w:rFonts w:ascii="Arial" w:hAnsi="Arial" w:cs="Arial"/>
                <w:strike/>
                <w:sz w:val="24"/>
                <w:szCs w:val="24"/>
              </w:rPr>
              <w:t>Tour-</w:t>
            </w:r>
            <w:proofErr w:type="spellStart"/>
            <w:r w:rsidRPr="00836CCA">
              <w:rPr>
                <w:rFonts w:ascii="Arial" w:hAnsi="Arial" w:cs="Arial"/>
                <w:strike/>
                <w:sz w:val="24"/>
                <w:szCs w:val="24"/>
              </w:rPr>
              <w:t>Haldimand</w:t>
            </w:r>
            <w:proofErr w:type="spellEnd"/>
            <w:r w:rsidRPr="00836CCA">
              <w:rPr>
                <w:rFonts w:ascii="Arial" w:hAnsi="Arial" w:cs="Arial"/>
                <w:strike/>
                <w:sz w:val="24"/>
                <w:szCs w:val="24"/>
              </w:rPr>
              <w:t xml:space="preserve"> 6, </w:t>
            </w:r>
            <w:proofErr w:type="spellStart"/>
            <w:r w:rsidRPr="00836CCA">
              <w:rPr>
                <w:rFonts w:ascii="Arial" w:hAnsi="Arial" w:cs="Arial"/>
                <w:strike/>
                <w:sz w:val="24"/>
                <w:szCs w:val="24"/>
              </w:rPr>
              <w:t>Pully</w:t>
            </w:r>
            <w:proofErr w:type="spellEnd"/>
            <w:r w:rsidRPr="00836CCA">
              <w:rPr>
                <w:rFonts w:ascii="Arial" w:hAnsi="Arial" w:cs="Arial"/>
                <w:strike/>
                <w:sz w:val="24"/>
                <w:szCs w:val="24"/>
              </w:rPr>
              <w:t xml:space="preserve">, </w:t>
            </w:r>
            <w:proofErr w:type="spellStart"/>
            <w:r w:rsidRPr="00836CCA">
              <w:rPr>
                <w:rFonts w:ascii="Arial" w:hAnsi="Arial" w:cs="Arial"/>
                <w:strike/>
                <w:sz w:val="24"/>
                <w:szCs w:val="24"/>
              </w:rPr>
              <w:t>Schweiz</w:t>
            </w:r>
            <w:proofErr w:type="spellEnd"/>
            <w:r w:rsidRPr="00836CCA">
              <w:rPr>
                <w:rFonts w:ascii="Arial" w:hAnsi="Arial" w:cs="Arial"/>
                <w:strike/>
                <w:sz w:val="24"/>
                <w:szCs w:val="24"/>
              </w:rPr>
              <w:t>, 1009.</w:t>
            </w:r>
          </w:p>
          <w:p w:rsidR="00307C2A" w:rsidRPr="00836CC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Other Information: EU Listed. Not UN. </w:t>
            </w: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Tel: +41 21 3106565 Fax: +41 21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3106566/67/72 Email: nico.finance@naftiran.ch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. Subsidiary (100%) of the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Naftiran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Intertrade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Company Ltd. </w:t>
            </w:r>
          </w:p>
          <w:p w:rsid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Group ID: 12768.</w:t>
            </w:r>
          </w:p>
          <w:p w:rsidR="00CF4646" w:rsidRPr="00307C2A" w:rsidRDefault="00CF4646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CF4646" w:rsidRDefault="00836CCA" w:rsidP="00836CCA">
            <w:pPr>
              <w:spacing w:after="0" w:line="240" w:lineRule="auto"/>
              <w:ind w:left="270" w:right="-90" w:hanging="2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307C2A" w:rsidRPr="00CF4646">
              <w:rPr>
                <w:rFonts w:ascii="Arial" w:hAnsi="Arial" w:cs="Arial"/>
                <w:b/>
                <w:sz w:val="24"/>
                <w:szCs w:val="24"/>
              </w:rPr>
              <w:t xml:space="preserve">POWER PLANTS' EQUIPMENT MANUFACTURING COMPANY (SAAKHTE TAJHIZATE NIROOGAHI) </w:t>
            </w:r>
            <w:r w:rsidR="00307C2A" w:rsidRPr="00836CCA">
              <w:rPr>
                <w:rFonts w:ascii="Arial" w:hAnsi="Arial" w:cs="Arial"/>
                <w:b/>
                <w:strike/>
                <w:sz w:val="24"/>
                <w:szCs w:val="24"/>
              </w:rPr>
              <w:t>MASNA (MODIERAT SAAKHT NIROOGAHYE ATOMI IRAN) MANAGING COMPANY FOR THE CONSTRUCTION OF NUCLEAR POWER PLANTS</w:t>
            </w:r>
          </w:p>
          <w:p w:rsidR="00307C2A" w:rsidRPr="00836CCA" w:rsidRDefault="00307C2A" w:rsidP="00836CCA">
            <w:pPr>
              <w:spacing w:after="0" w:line="240" w:lineRule="auto"/>
              <w:ind w:left="720" w:right="-90" w:hanging="45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836CCA">
              <w:rPr>
                <w:rFonts w:ascii="Arial" w:hAnsi="Arial" w:cs="Arial"/>
                <w:strike/>
                <w:sz w:val="24"/>
                <w:szCs w:val="24"/>
              </w:rPr>
              <w:t>PO Box 14395-1359, Tehran, Iran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No. 10, </w:t>
            </w:r>
            <w:proofErr w:type="spellStart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Jahanara</w:t>
            </w:r>
            <w:proofErr w:type="spellEnd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 Alley, after </w:t>
            </w:r>
            <w:proofErr w:type="spellStart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Hemmat</w:t>
            </w:r>
            <w:proofErr w:type="spellEnd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307C2A" w:rsidRPr="00836CCA" w:rsidRDefault="00307C2A" w:rsidP="00836CCA">
            <w:pPr>
              <w:spacing w:after="0" w:line="240" w:lineRule="auto"/>
              <w:ind w:left="720" w:right="-90" w:hanging="45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Bridge, </w:t>
            </w:r>
            <w:proofErr w:type="spellStart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Abbaspour</w:t>
            </w:r>
            <w:proofErr w:type="spellEnd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 St. (previously called </w:t>
            </w:r>
            <w:proofErr w:type="spellStart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Tavanir</w:t>
            </w:r>
            <w:proofErr w:type="spellEnd"/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 xml:space="preserve">), Tehran, Post Code 1435733161, </w:t>
            </w:r>
          </w:p>
          <w:p w:rsidR="00307C2A" w:rsidRPr="00836CCA" w:rsidRDefault="00307C2A" w:rsidP="00836CCA">
            <w:pPr>
              <w:spacing w:after="0" w:line="240" w:lineRule="auto"/>
              <w:ind w:left="720" w:right="-90" w:hanging="45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Iran</w:t>
            </w:r>
          </w:p>
          <w:p w:rsidR="00307C2A" w:rsidRPr="00307C2A" w:rsidRDefault="00307C2A" w:rsidP="00836CCA">
            <w:pPr>
              <w:spacing w:after="0" w:line="240" w:lineRule="auto"/>
              <w:ind w:left="720" w:right="-90" w:hanging="4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Other Information: EU listing. Not UN. Subordinate to AEOI and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Novin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Energy. </w:t>
            </w:r>
          </w:p>
          <w:p w:rsidR="00307C2A" w:rsidRPr="00836CCA" w:rsidRDefault="00307C2A" w:rsidP="00836CCA">
            <w:pPr>
              <w:spacing w:after="0" w:line="240" w:lineRule="auto"/>
              <w:ind w:left="720" w:right="-90" w:hanging="45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Involved in the development of nuclear reactors.</w:t>
            </w:r>
          </w:p>
          <w:p w:rsidR="00307C2A" w:rsidRDefault="00307C2A" w:rsidP="00836CCA">
            <w:pPr>
              <w:spacing w:after="0" w:line="240" w:lineRule="auto"/>
              <w:ind w:left="720" w:right="-90" w:hanging="4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Group ID: 11212.</w:t>
            </w:r>
          </w:p>
          <w:p w:rsidR="00CF4646" w:rsidRPr="00307C2A" w:rsidRDefault="00CF4646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C2A" w:rsidRPr="00CF4646" w:rsidRDefault="00307C2A" w:rsidP="00307C2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646">
              <w:rPr>
                <w:rFonts w:ascii="Arial" w:hAnsi="Arial" w:cs="Arial"/>
                <w:b/>
                <w:sz w:val="24"/>
                <w:szCs w:val="24"/>
              </w:rPr>
              <w:t>4. SINA BANK</w:t>
            </w:r>
          </w:p>
          <w:p w:rsidR="00836CC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Address: No. 187, Avenue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Motahari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Ave</w:t>
            </w:r>
            <w:r w:rsidRPr="00307C2A">
              <w:rPr>
                <w:rFonts w:ascii="Arial" w:hAnsi="Arial" w:cs="Arial"/>
                <w:sz w:val="24"/>
                <w:szCs w:val="24"/>
              </w:rPr>
              <w:t xml:space="preserve">., Tehran, Iran, </w:t>
            </w:r>
            <w:r w:rsidRPr="00836CCA">
              <w:rPr>
                <w:rFonts w:ascii="Arial" w:hAnsi="Arial" w:cs="Arial"/>
                <w:sz w:val="24"/>
                <w:szCs w:val="24"/>
                <w:u w:val="single"/>
              </w:rPr>
              <w:t>1587998411</w:t>
            </w:r>
            <w:r w:rsidRPr="00307C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7C2A" w:rsidRPr="00836CC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Other Information: EU listing. Not UN. </w:t>
            </w:r>
            <w:r w:rsidRPr="00836CCA">
              <w:rPr>
                <w:rFonts w:ascii="Arial" w:hAnsi="Arial" w:cs="Arial"/>
                <w:strike/>
                <w:sz w:val="24"/>
                <w:szCs w:val="24"/>
              </w:rPr>
              <w:t>Closely linked to the interests of the '</w:t>
            </w:r>
            <w:proofErr w:type="spellStart"/>
            <w:r w:rsidRPr="00836CCA">
              <w:rPr>
                <w:rFonts w:ascii="Arial" w:hAnsi="Arial" w:cs="Arial"/>
                <w:strike/>
                <w:sz w:val="24"/>
                <w:szCs w:val="24"/>
              </w:rPr>
              <w:t>Daftar</w:t>
            </w:r>
            <w:proofErr w:type="spellEnd"/>
            <w:r w:rsidRPr="00836CCA">
              <w:rPr>
                <w:rFonts w:ascii="Arial" w:hAnsi="Arial" w:cs="Arial"/>
                <w:strike/>
                <w:sz w:val="24"/>
                <w:szCs w:val="24"/>
              </w:rPr>
              <w:t xml:space="preserve">'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CCA">
              <w:rPr>
                <w:rFonts w:ascii="Arial" w:hAnsi="Arial" w:cs="Arial"/>
                <w:strike/>
                <w:sz w:val="24"/>
                <w:szCs w:val="24"/>
              </w:rPr>
              <w:t xml:space="preserve">(Office of the Supreme Leader).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Sina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Bank is controlled by the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Mostazafan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Foundation, a major Iranian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parastatal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entity directly controlled by the Supreme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 xml:space="preserve">Leader, and which has an 84 % shareholding in </w:t>
            </w:r>
            <w:proofErr w:type="spellStart"/>
            <w:r w:rsidRPr="00307C2A">
              <w:rPr>
                <w:rFonts w:ascii="Arial" w:hAnsi="Arial" w:cs="Arial"/>
                <w:sz w:val="24"/>
                <w:szCs w:val="24"/>
              </w:rPr>
              <w:t>Sina</w:t>
            </w:r>
            <w:proofErr w:type="spellEnd"/>
            <w:r w:rsidRPr="00307C2A">
              <w:rPr>
                <w:rFonts w:ascii="Arial" w:hAnsi="Arial" w:cs="Arial"/>
                <w:sz w:val="24"/>
                <w:szCs w:val="24"/>
              </w:rPr>
              <w:t xml:space="preserve"> Bank. Tel: +9821 88532434-7, </w:t>
            </w:r>
          </w:p>
          <w:p w:rsidR="00307C2A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lastRenderedPageBreak/>
              <w:t xml:space="preserve">+9821 88532434-6 E-mail: infor@sinabank.ir. Website: http://www.sinabank.ir/ </w:t>
            </w:r>
          </w:p>
          <w:p w:rsidR="00F40F31" w:rsidRPr="00307C2A" w:rsidRDefault="00307C2A" w:rsidP="00836CC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C2A">
              <w:rPr>
                <w:rFonts w:ascii="Arial" w:hAnsi="Arial" w:cs="Arial"/>
                <w:sz w:val="24"/>
                <w:szCs w:val="24"/>
              </w:rPr>
              <w:t>Group ID: 11186.</w:t>
            </w:r>
          </w:p>
          <w:p w:rsidR="007C3F0D" w:rsidRDefault="007C3F0D" w:rsidP="007C3F0D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CCA" w:rsidRDefault="00836CCA" w:rsidP="007C3F0D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394F" w:rsidRDefault="009F394F" w:rsidP="007C3F0D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275B" w:rsidRPr="00C54BDF" w:rsidRDefault="0025054F" w:rsidP="007C3F0D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54F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250A57" w:rsidRPr="0012275B" w:rsidRDefault="00307C2A" w:rsidP="007C3F0D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F40F31">
              <w:rPr>
                <w:rFonts w:ascii="Arial" w:hAnsi="Arial" w:cs="Arial"/>
                <w:b/>
                <w:sz w:val="24"/>
                <w:szCs w:val="24"/>
              </w:rPr>
              <w:t>/11</w:t>
            </w:r>
            <w:r w:rsidR="00EF0E14" w:rsidRPr="0025054F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7C3F0D">
              <w:rPr>
                <w:rFonts w:ascii="Arial" w:hAnsi="Arial" w:cs="Arial"/>
                <w:b/>
                <w:sz w:val="24"/>
                <w:szCs w:val="24"/>
              </w:rPr>
              <w:t>014</w:t>
            </w:r>
          </w:p>
        </w:tc>
      </w:tr>
    </w:tbl>
    <w:p w:rsidR="00E07765" w:rsidRDefault="00E07765" w:rsidP="007C3F0D">
      <w:pPr>
        <w:spacing w:after="0" w:line="240" w:lineRule="auto"/>
        <w:ind w:right="-90"/>
        <w:jc w:val="both"/>
        <w:rPr>
          <w:rFonts w:ascii="Arial" w:hAnsi="Arial" w:cs="Arial"/>
        </w:rPr>
      </w:pPr>
    </w:p>
    <w:sectPr w:rsidR="00E07765" w:rsidSect="007C3F0D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CA7"/>
    <w:multiLevelType w:val="hybridMultilevel"/>
    <w:tmpl w:val="AB0C6BE4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0094"/>
    <w:multiLevelType w:val="hybridMultilevel"/>
    <w:tmpl w:val="C3B8FD3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B3C"/>
    <w:multiLevelType w:val="hybridMultilevel"/>
    <w:tmpl w:val="0018DA24"/>
    <w:lvl w:ilvl="0" w:tplc="C4269D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558D4"/>
    <w:multiLevelType w:val="hybridMultilevel"/>
    <w:tmpl w:val="D80E5330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CEF"/>
    <w:multiLevelType w:val="hybridMultilevel"/>
    <w:tmpl w:val="12B066CA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1F7"/>
    <w:multiLevelType w:val="hybridMultilevel"/>
    <w:tmpl w:val="1BA4CC0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5480E"/>
    <w:multiLevelType w:val="hybridMultilevel"/>
    <w:tmpl w:val="0AC8D568"/>
    <w:lvl w:ilvl="0" w:tplc="1ADCABB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2177"/>
    <w:multiLevelType w:val="hybridMultilevel"/>
    <w:tmpl w:val="2A36DCF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B7CC9"/>
    <w:multiLevelType w:val="hybridMultilevel"/>
    <w:tmpl w:val="DE08943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276C1"/>
    <w:multiLevelType w:val="hybridMultilevel"/>
    <w:tmpl w:val="316C8DAC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F6386"/>
    <w:multiLevelType w:val="hybridMultilevel"/>
    <w:tmpl w:val="C46AAB5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6951"/>
    <w:multiLevelType w:val="hybridMultilevel"/>
    <w:tmpl w:val="1988C7A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4E7F2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3CA2342">
      <w:start w:val="2"/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A9A258A6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2F96"/>
    <w:multiLevelType w:val="hybridMultilevel"/>
    <w:tmpl w:val="F13E9C6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3F64C4"/>
    <w:multiLevelType w:val="hybridMultilevel"/>
    <w:tmpl w:val="ED264A5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4317F"/>
    <w:multiLevelType w:val="hybridMultilevel"/>
    <w:tmpl w:val="8CC49EA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82959"/>
    <w:multiLevelType w:val="hybridMultilevel"/>
    <w:tmpl w:val="9F701B4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54A80"/>
    <w:multiLevelType w:val="hybridMultilevel"/>
    <w:tmpl w:val="A1BC543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349B5"/>
    <w:multiLevelType w:val="hybridMultilevel"/>
    <w:tmpl w:val="AFC80B1E"/>
    <w:lvl w:ilvl="0" w:tplc="62BC3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809DE"/>
    <w:multiLevelType w:val="hybridMultilevel"/>
    <w:tmpl w:val="5A20F28E"/>
    <w:lvl w:ilvl="0" w:tplc="346801C4">
      <w:start w:val="1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38474E"/>
    <w:multiLevelType w:val="hybridMultilevel"/>
    <w:tmpl w:val="47B2DF28"/>
    <w:lvl w:ilvl="0" w:tplc="1ADCABB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75D21"/>
    <w:multiLevelType w:val="hybridMultilevel"/>
    <w:tmpl w:val="9DF67AA4"/>
    <w:lvl w:ilvl="0" w:tplc="62BC3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2A37"/>
    <w:multiLevelType w:val="hybridMultilevel"/>
    <w:tmpl w:val="21AAD796"/>
    <w:lvl w:ilvl="0" w:tplc="2409001B">
      <w:start w:val="1"/>
      <w:numFmt w:val="lowerRoman"/>
      <w:lvlText w:val="%1."/>
      <w:lvlJc w:val="right"/>
      <w:pPr>
        <w:ind w:left="1890" w:hanging="360"/>
      </w:pPr>
    </w:lvl>
    <w:lvl w:ilvl="1" w:tplc="24090019" w:tentative="1">
      <w:start w:val="1"/>
      <w:numFmt w:val="lowerLetter"/>
      <w:lvlText w:val="%2."/>
      <w:lvlJc w:val="left"/>
      <w:pPr>
        <w:ind w:left="2610" w:hanging="360"/>
      </w:pPr>
    </w:lvl>
    <w:lvl w:ilvl="2" w:tplc="2409001B" w:tentative="1">
      <w:start w:val="1"/>
      <w:numFmt w:val="lowerRoman"/>
      <w:lvlText w:val="%3."/>
      <w:lvlJc w:val="right"/>
      <w:pPr>
        <w:ind w:left="3330" w:hanging="180"/>
      </w:pPr>
    </w:lvl>
    <w:lvl w:ilvl="3" w:tplc="2409000F" w:tentative="1">
      <w:start w:val="1"/>
      <w:numFmt w:val="decimal"/>
      <w:lvlText w:val="%4."/>
      <w:lvlJc w:val="left"/>
      <w:pPr>
        <w:ind w:left="4050" w:hanging="360"/>
      </w:pPr>
    </w:lvl>
    <w:lvl w:ilvl="4" w:tplc="24090019" w:tentative="1">
      <w:start w:val="1"/>
      <w:numFmt w:val="lowerLetter"/>
      <w:lvlText w:val="%5."/>
      <w:lvlJc w:val="left"/>
      <w:pPr>
        <w:ind w:left="4770" w:hanging="360"/>
      </w:pPr>
    </w:lvl>
    <w:lvl w:ilvl="5" w:tplc="2409001B" w:tentative="1">
      <w:start w:val="1"/>
      <w:numFmt w:val="lowerRoman"/>
      <w:lvlText w:val="%6."/>
      <w:lvlJc w:val="right"/>
      <w:pPr>
        <w:ind w:left="5490" w:hanging="180"/>
      </w:pPr>
    </w:lvl>
    <w:lvl w:ilvl="6" w:tplc="2409000F" w:tentative="1">
      <w:start w:val="1"/>
      <w:numFmt w:val="decimal"/>
      <w:lvlText w:val="%7."/>
      <w:lvlJc w:val="left"/>
      <w:pPr>
        <w:ind w:left="6210" w:hanging="360"/>
      </w:pPr>
    </w:lvl>
    <w:lvl w:ilvl="7" w:tplc="24090019" w:tentative="1">
      <w:start w:val="1"/>
      <w:numFmt w:val="lowerLetter"/>
      <w:lvlText w:val="%8."/>
      <w:lvlJc w:val="left"/>
      <w:pPr>
        <w:ind w:left="6930" w:hanging="360"/>
      </w:pPr>
    </w:lvl>
    <w:lvl w:ilvl="8" w:tplc="2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4F885C02"/>
    <w:multiLevelType w:val="hybridMultilevel"/>
    <w:tmpl w:val="E1E8015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1786C"/>
    <w:multiLevelType w:val="hybridMultilevel"/>
    <w:tmpl w:val="B8D8CE7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9EBAF4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4D10"/>
    <w:multiLevelType w:val="hybridMultilevel"/>
    <w:tmpl w:val="C1DC9646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B50C1"/>
    <w:multiLevelType w:val="hybridMultilevel"/>
    <w:tmpl w:val="54862B4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D363D"/>
    <w:multiLevelType w:val="hybridMultilevel"/>
    <w:tmpl w:val="EFF6458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30B5"/>
    <w:multiLevelType w:val="hybridMultilevel"/>
    <w:tmpl w:val="48C65950"/>
    <w:lvl w:ilvl="0" w:tplc="AAD40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97448"/>
    <w:multiLevelType w:val="hybridMultilevel"/>
    <w:tmpl w:val="0F5243B0"/>
    <w:lvl w:ilvl="0" w:tplc="346801C4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B523E"/>
    <w:multiLevelType w:val="hybridMultilevel"/>
    <w:tmpl w:val="D242E516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8"/>
  </w:num>
  <w:num w:numId="5">
    <w:abstractNumId w:val="15"/>
  </w:num>
  <w:num w:numId="6">
    <w:abstractNumId w:val="1"/>
  </w:num>
  <w:num w:numId="7">
    <w:abstractNumId w:val="28"/>
  </w:num>
  <w:num w:numId="8">
    <w:abstractNumId w:val="18"/>
  </w:num>
  <w:num w:numId="9">
    <w:abstractNumId w:val="2"/>
  </w:num>
  <w:num w:numId="10">
    <w:abstractNumId w:val="10"/>
  </w:num>
  <w:num w:numId="11">
    <w:abstractNumId w:val="25"/>
  </w:num>
  <w:num w:numId="12">
    <w:abstractNumId w:val="13"/>
  </w:num>
  <w:num w:numId="13">
    <w:abstractNumId w:val="9"/>
  </w:num>
  <w:num w:numId="14">
    <w:abstractNumId w:val="20"/>
  </w:num>
  <w:num w:numId="15">
    <w:abstractNumId w:val="17"/>
  </w:num>
  <w:num w:numId="16">
    <w:abstractNumId w:val="29"/>
  </w:num>
  <w:num w:numId="17">
    <w:abstractNumId w:val="3"/>
  </w:num>
  <w:num w:numId="18">
    <w:abstractNumId w:val="4"/>
  </w:num>
  <w:num w:numId="19">
    <w:abstractNumId w:val="24"/>
  </w:num>
  <w:num w:numId="20">
    <w:abstractNumId w:val="23"/>
  </w:num>
  <w:num w:numId="21">
    <w:abstractNumId w:val="5"/>
  </w:num>
  <w:num w:numId="22">
    <w:abstractNumId w:val="12"/>
  </w:num>
  <w:num w:numId="23">
    <w:abstractNumId w:val="14"/>
  </w:num>
  <w:num w:numId="24">
    <w:abstractNumId w:val="16"/>
  </w:num>
  <w:num w:numId="25">
    <w:abstractNumId w:val="22"/>
  </w:num>
  <w:num w:numId="26">
    <w:abstractNumId w:val="7"/>
  </w:num>
  <w:num w:numId="27">
    <w:abstractNumId w:val="19"/>
  </w:num>
  <w:num w:numId="28">
    <w:abstractNumId w:val="6"/>
  </w:num>
  <w:num w:numId="29">
    <w:abstractNumId w:val="26"/>
  </w:num>
  <w:num w:numId="30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B9"/>
    <w:rsid w:val="0000518F"/>
    <w:rsid w:val="00011693"/>
    <w:rsid w:val="00035665"/>
    <w:rsid w:val="00040DB5"/>
    <w:rsid w:val="00050014"/>
    <w:rsid w:val="00076AC4"/>
    <w:rsid w:val="000F6055"/>
    <w:rsid w:val="000F7E28"/>
    <w:rsid w:val="00102FED"/>
    <w:rsid w:val="00115045"/>
    <w:rsid w:val="0012275B"/>
    <w:rsid w:val="0013754B"/>
    <w:rsid w:val="00193CCC"/>
    <w:rsid w:val="001975A7"/>
    <w:rsid w:val="001D55F9"/>
    <w:rsid w:val="001D72F3"/>
    <w:rsid w:val="001E1DA4"/>
    <w:rsid w:val="002104A3"/>
    <w:rsid w:val="00222F81"/>
    <w:rsid w:val="00250218"/>
    <w:rsid w:val="0025054F"/>
    <w:rsid w:val="00250A57"/>
    <w:rsid w:val="00260302"/>
    <w:rsid w:val="00260890"/>
    <w:rsid w:val="002779BB"/>
    <w:rsid w:val="0029147C"/>
    <w:rsid w:val="002A40EF"/>
    <w:rsid w:val="002C128A"/>
    <w:rsid w:val="002D1D5F"/>
    <w:rsid w:val="002D6787"/>
    <w:rsid w:val="002D750C"/>
    <w:rsid w:val="002F07E9"/>
    <w:rsid w:val="002F7439"/>
    <w:rsid w:val="003010BD"/>
    <w:rsid w:val="00305121"/>
    <w:rsid w:val="00307C2A"/>
    <w:rsid w:val="00344288"/>
    <w:rsid w:val="00374424"/>
    <w:rsid w:val="00376FE1"/>
    <w:rsid w:val="00381D34"/>
    <w:rsid w:val="00383BFA"/>
    <w:rsid w:val="003944DD"/>
    <w:rsid w:val="003D7B68"/>
    <w:rsid w:val="003F3D5E"/>
    <w:rsid w:val="003F5F98"/>
    <w:rsid w:val="00417A71"/>
    <w:rsid w:val="00424A69"/>
    <w:rsid w:val="0044173C"/>
    <w:rsid w:val="00442436"/>
    <w:rsid w:val="004440B0"/>
    <w:rsid w:val="00445816"/>
    <w:rsid w:val="00451F88"/>
    <w:rsid w:val="0046057D"/>
    <w:rsid w:val="0046737B"/>
    <w:rsid w:val="00473648"/>
    <w:rsid w:val="00480DB7"/>
    <w:rsid w:val="004862E3"/>
    <w:rsid w:val="004A47A3"/>
    <w:rsid w:val="004C1053"/>
    <w:rsid w:val="004E4E08"/>
    <w:rsid w:val="004E6D8E"/>
    <w:rsid w:val="005022D1"/>
    <w:rsid w:val="00516473"/>
    <w:rsid w:val="00550C9D"/>
    <w:rsid w:val="00551EFB"/>
    <w:rsid w:val="00554081"/>
    <w:rsid w:val="00554F1D"/>
    <w:rsid w:val="005675B7"/>
    <w:rsid w:val="005705A9"/>
    <w:rsid w:val="005B40D1"/>
    <w:rsid w:val="005D32C0"/>
    <w:rsid w:val="005E3464"/>
    <w:rsid w:val="00610EEC"/>
    <w:rsid w:val="00622A8A"/>
    <w:rsid w:val="00627ADE"/>
    <w:rsid w:val="00660FA5"/>
    <w:rsid w:val="00667665"/>
    <w:rsid w:val="0069209E"/>
    <w:rsid w:val="00697397"/>
    <w:rsid w:val="006B488B"/>
    <w:rsid w:val="006C74AF"/>
    <w:rsid w:val="00701AB9"/>
    <w:rsid w:val="007371B9"/>
    <w:rsid w:val="00752C6A"/>
    <w:rsid w:val="00766CB2"/>
    <w:rsid w:val="00794DEC"/>
    <w:rsid w:val="00796EA8"/>
    <w:rsid w:val="007C3F0D"/>
    <w:rsid w:val="007D0208"/>
    <w:rsid w:val="007D37FB"/>
    <w:rsid w:val="007E76C8"/>
    <w:rsid w:val="007F1CCA"/>
    <w:rsid w:val="007F723A"/>
    <w:rsid w:val="0080586A"/>
    <w:rsid w:val="0081666D"/>
    <w:rsid w:val="00836CCA"/>
    <w:rsid w:val="008534E8"/>
    <w:rsid w:val="008615CB"/>
    <w:rsid w:val="00866044"/>
    <w:rsid w:val="008915BD"/>
    <w:rsid w:val="008923E8"/>
    <w:rsid w:val="00900D71"/>
    <w:rsid w:val="009178E6"/>
    <w:rsid w:val="00926CF5"/>
    <w:rsid w:val="00957F65"/>
    <w:rsid w:val="00970DC3"/>
    <w:rsid w:val="009B4140"/>
    <w:rsid w:val="009D240E"/>
    <w:rsid w:val="009D2788"/>
    <w:rsid w:val="009F394F"/>
    <w:rsid w:val="00A02FA2"/>
    <w:rsid w:val="00A1165C"/>
    <w:rsid w:val="00A15ED0"/>
    <w:rsid w:val="00A169A1"/>
    <w:rsid w:val="00A35CEE"/>
    <w:rsid w:val="00A37F7D"/>
    <w:rsid w:val="00A4378C"/>
    <w:rsid w:val="00A47A7C"/>
    <w:rsid w:val="00A605F3"/>
    <w:rsid w:val="00A6390C"/>
    <w:rsid w:val="00A7085C"/>
    <w:rsid w:val="00A73620"/>
    <w:rsid w:val="00A74EF3"/>
    <w:rsid w:val="00A90BE3"/>
    <w:rsid w:val="00A95BEB"/>
    <w:rsid w:val="00AB0C45"/>
    <w:rsid w:val="00AD228D"/>
    <w:rsid w:val="00AE7010"/>
    <w:rsid w:val="00AF3241"/>
    <w:rsid w:val="00AF584C"/>
    <w:rsid w:val="00AF66EF"/>
    <w:rsid w:val="00B00A63"/>
    <w:rsid w:val="00B02E1C"/>
    <w:rsid w:val="00B519FE"/>
    <w:rsid w:val="00B77456"/>
    <w:rsid w:val="00B91EC1"/>
    <w:rsid w:val="00BB55CD"/>
    <w:rsid w:val="00BC3CD3"/>
    <w:rsid w:val="00BD1951"/>
    <w:rsid w:val="00C00A8D"/>
    <w:rsid w:val="00C058D3"/>
    <w:rsid w:val="00C311E3"/>
    <w:rsid w:val="00C54BDF"/>
    <w:rsid w:val="00C54D52"/>
    <w:rsid w:val="00C56BA5"/>
    <w:rsid w:val="00C56FF9"/>
    <w:rsid w:val="00C61E50"/>
    <w:rsid w:val="00C7246C"/>
    <w:rsid w:val="00C90C6F"/>
    <w:rsid w:val="00CA2A91"/>
    <w:rsid w:val="00CA3D1B"/>
    <w:rsid w:val="00CB4F89"/>
    <w:rsid w:val="00CB5DA3"/>
    <w:rsid w:val="00CE19CB"/>
    <w:rsid w:val="00CF4646"/>
    <w:rsid w:val="00D026B6"/>
    <w:rsid w:val="00D16A5F"/>
    <w:rsid w:val="00D254C6"/>
    <w:rsid w:val="00D30AC0"/>
    <w:rsid w:val="00D32089"/>
    <w:rsid w:val="00D60562"/>
    <w:rsid w:val="00D63059"/>
    <w:rsid w:val="00D700FC"/>
    <w:rsid w:val="00D70C34"/>
    <w:rsid w:val="00D74901"/>
    <w:rsid w:val="00D808DE"/>
    <w:rsid w:val="00D80922"/>
    <w:rsid w:val="00D84710"/>
    <w:rsid w:val="00DB11A7"/>
    <w:rsid w:val="00DD7CD5"/>
    <w:rsid w:val="00DF2EDF"/>
    <w:rsid w:val="00E07765"/>
    <w:rsid w:val="00E138C8"/>
    <w:rsid w:val="00E21282"/>
    <w:rsid w:val="00E36330"/>
    <w:rsid w:val="00E432E6"/>
    <w:rsid w:val="00E823B6"/>
    <w:rsid w:val="00E8393C"/>
    <w:rsid w:val="00E9601A"/>
    <w:rsid w:val="00ED7FAE"/>
    <w:rsid w:val="00EE7366"/>
    <w:rsid w:val="00EE7B04"/>
    <w:rsid w:val="00EF0E14"/>
    <w:rsid w:val="00EF2944"/>
    <w:rsid w:val="00EF36C6"/>
    <w:rsid w:val="00EF6299"/>
    <w:rsid w:val="00F26443"/>
    <w:rsid w:val="00F40F31"/>
    <w:rsid w:val="00F50214"/>
    <w:rsid w:val="00F50B27"/>
    <w:rsid w:val="00F642A9"/>
    <w:rsid w:val="00F66849"/>
    <w:rsid w:val="00F77B17"/>
    <w:rsid w:val="00F80CAD"/>
    <w:rsid w:val="00F87328"/>
    <w:rsid w:val="00F9645F"/>
    <w:rsid w:val="00FD3707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OJ:JOL_2014_325_R_0002&amp;from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gov.uk/sanctions-embargoes-and-restri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sc/committ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financial-sanctions-regime-specific-consolidated-lists-and-relea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121-2E1E-41E0-9D67-D1003F8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5</cp:revision>
  <cp:lastPrinted>2014-11-18T19:11:00Z</cp:lastPrinted>
  <dcterms:created xsi:type="dcterms:W3CDTF">2014-11-18T19:13:00Z</dcterms:created>
  <dcterms:modified xsi:type="dcterms:W3CDTF">2014-11-18T19:33:00Z</dcterms:modified>
</cp:coreProperties>
</file>