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12BEF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712BEF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712BEF" w:rsidRDefault="006B14D8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2610CD">
                    <w:rPr>
                      <w:rFonts w:ascii="Arial" w:hAnsi="Arial" w:cs="Arial"/>
                    </w:rPr>
                    <w:t xml:space="preserve"> March</w:t>
                  </w:r>
                  <w:r w:rsidR="004F1929" w:rsidRPr="00712BEF">
                    <w:rPr>
                      <w:rFonts w:ascii="Arial" w:hAnsi="Arial" w:cs="Arial"/>
                    </w:rPr>
                    <w:t xml:space="preserve"> 2015</w:t>
                  </w:r>
                </w:p>
                <w:p w:rsidR="00DB11A7" w:rsidRPr="00712BEF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912024" w:rsidRPr="00912024" w:rsidRDefault="00E03A0F" w:rsidP="0091202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2024">
              <w:rPr>
                <w:rFonts w:ascii="Arial" w:hAnsi="Arial" w:cs="Arial"/>
                <w:b/>
                <w:sz w:val="28"/>
                <w:szCs w:val="28"/>
              </w:rPr>
              <w:t>Libya</w:t>
            </w:r>
          </w:p>
          <w:p w:rsidR="00912024" w:rsidRDefault="00912024" w:rsidP="005C6C3F">
            <w:pPr>
              <w:spacing w:after="0" w:line="240" w:lineRule="auto"/>
              <w:ind w:right="-90"/>
              <w:jc w:val="both"/>
            </w:pPr>
          </w:p>
          <w:p w:rsidR="00912024" w:rsidRPr="00340524" w:rsidRDefault="00E03A0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0524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340524" w:rsidRPr="00340524" w:rsidRDefault="00340524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0524" w:rsidRPr="00340524" w:rsidRDefault="00E03A0F" w:rsidP="003405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Council Regulation (EU) 204/2011 (“the Regulation”) imposing financial sanctions against Libya has been amended. Identifying information for one individual listed in the Annex to this Notice has been amended. </w:t>
            </w:r>
          </w:p>
          <w:p w:rsidR="00340524" w:rsidRDefault="00340524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0524" w:rsidRPr="00340524" w:rsidRDefault="00E03A0F" w:rsidP="003405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Another individual previously removed from the consolidated list as a result of a court judgement has been formally removed from the Regulation. </w:t>
            </w:r>
            <w:r w:rsidR="00340524" w:rsidRPr="003405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524">
              <w:rPr>
                <w:rFonts w:ascii="Arial" w:hAnsi="Arial" w:cs="Arial"/>
                <w:sz w:val="24"/>
                <w:szCs w:val="24"/>
              </w:rPr>
              <w:t xml:space="preserve">For further information please see the Treasury Notice from 22 December 2014: </w:t>
            </w:r>
          </w:p>
          <w:p w:rsidR="00340524" w:rsidRDefault="00340524" w:rsidP="00340524">
            <w:pPr>
              <w:spacing w:after="0" w:line="240" w:lineRule="auto"/>
              <w:ind w:left="720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0" w:history="1">
              <w:r w:rsidRPr="00A26D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https://www.gov.uk/government/uploads/system/uploads/attachment_data/file/390369/Libya_al_Dam_delisting.pdf</w:t>
              </w:r>
            </w:hyperlink>
          </w:p>
          <w:p w:rsidR="00340524" w:rsidRDefault="00340524" w:rsidP="00340524">
            <w:pPr>
              <w:spacing w:after="0" w:line="240" w:lineRule="auto"/>
              <w:ind w:left="720" w:right="-90"/>
              <w:rPr>
                <w:rFonts w:ascii="Arial" w:hAnsi="Arial" w:cs="Arial"/>
                <w:sz w:val="24"/>
                <w:szCs w:val="24"/>
              </w:rPr>
            </w:pPr>
          </w:p>
          <w:p w:rsidR="00340524" w:rsidRPr="00340524" w:rsidRDefault="00E03A0F" w:rsidP="00340524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340524">
              <w:rPr>
                <w:rFonts w:ascii="Arial" w:hAnsi="Arial" w:cs="Arial"/>
                <w:b/>
                <w:sz w:val="24"/>
                <w:szCs w:val="24"/>
              </w:rPr>
              <w:t xml:space="preserve">Notice summary (Full details are provided in the Annex to this Notice) </w:t>
            </w:r>
          </w:p>
          <w:p w:rsidR="00340524" w:rsidRDefault="00340524" w:rsidP="0034052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40524" w:rsidRDefault="00E03A0F" w:rsidP="003405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The following entry has been amended and is still subject to an asset freeze: </w:t>
            </w:r>
          </w:p>
          <w:p w:rsidR="00340524" w:rsidRPr="00340524" w:rsidRDefault="00340524" w:rsidP="0034052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40524" w:rsidRDefault="00E03A0F" w:rsidP="003405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350" w:right="-90"/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ABDULHAFIZ, </w:t>
            </w:r>
            <w:proofErr w:type="spellStart"/>
            <w:r w:rsidRPr="00340524">
              <w:rPr>
                <w:rFonts w:ascii="Arial" w:hAnsi="Arial" w:cs="Arial"/>
                <w:sz w:val="24"/>
                <w:szCs w:val="24"/>
              </w:rPr>
              <w:t>Mas'ud</w:t>
            </w:r>
            <w:proofErr w:type="spellEnd"/>
            <w:r w:rsidRPr="00340524">
              <w:rPr>
                <w:rFonts w:ascii="Arial" w:hAnsi="Arial" w:cs="Arial"/>
                <w:sz w:val="24"/>
                <w:szCs w:val="24"/>
              </w:rPr>
              <w:t xml:space="preserve"> (Group ID: 11641)</w:t>
            </w:r>
          </w:p>
          <w:p w:rsidR="00340524" w:rsidRDefault="00340524" w:rsidP="00340524">
            <w:pPr>
              <w:spacing w:after="0" w:line="240" w:lineRule="auto"/>
              <w:ind w:right="-90"/>
            </w:pPr>
          </w:p>
          <w:p w:rsidR="00340524" w:rsidRPr="00340524" w:rsidRDefault="00E03A0F" w:rsidP="00340524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340524">
              <w:rPr>
                <w:rFonts w:ascii="Arial" w:hAnsi="Arial" w:cs="Arial"/>
                <w:b/>
                <w:sz w:val="24"/>
                <w:szCs w:val="24"/>
              </w:rPr>
              <w:t xml:space="preserve">What you must do </w:t>
            </w:r>
          </w:p>
          <w:p w:rsidR="00340524" w:rsidRDefault="00340524" w:rsidP="0034052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40524" w:rsidRDefault="00E03A0F" w:rsidP="003405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You must: </w:t>
            </w:r>
          </w:p>
          <w:p w:rsidR="00340524" w:rsidRDefault="00340524" w:rsidP="0034052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40524" w:rsidRDefault="00E03A0F" w:rsidP="003405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 w:hanging="360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check whether you maintain any accounts or hold any funds or economic resources for the persons set out in the Annex to this Notice; </w:t>
            </w:r>
          </w:p>
          <w:p w:rsidR="00340524" w:rsidRDefault="00340524" w:rsidP="00340524">
            <w:pPr>
              <w:pStyle w:val="ListParagraph"/>
              <w:spacing w:after="0" w:line="240" w:lineRule="auto"/>
              <w:ind w:left="1440" w:right="-90" w:hanging="360"/>
              <w:rPr>
                <w:rFonts w:ascii="Arial" w:hAnsi="Arial" w:cs="Arial"/>
                <w:sz w:val="24"/>
                <w:szCs w:val="24"/>
              </w:rPr>
            </w:pPr>
          </w:p>
          <w:p w:rsidR="00340524" w:rsidRDefault="00E03A0F" w:rsidP="003405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 w:hanging="360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freeze such accounts, and other funds or assets; </w:t>
            </w:r>
          </w:p>
          <w:p w:rsidR="00340524" w:rsidRPr="00340524" w:rsidRDefault="00340524" w:rsidP="00340524">
            <w:pPr>
              <w:pStyle w:val="ListParagraph"/>
              <w:ind w:hanging="360"/>
              <w:rPr>
                <w:rFonts w:ascii="Arial" w:hAnsi="Arial" w:cs="Arial"/>
                <w:sz w:val="24"/>
                <w:szCs w:val="24"/>
              </w:rPr>
            </w:pPr>
          </w:p>
          <w:p w:rsidR="00340524" w:rsidRDefault="00E03A0F" w:rsidP="003405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 w:hanging="360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>refrain from dealing with the funds or assets or making them available to such persons un</w:t>
            </w:r>
            <w:r w:rsidR="00340524">
              <w:rPr>
                <w:rFonts w:ascii="Arial" w:hAnsi="Arial" w:cs="Arial"/>
                <w:sz w:val="24"/>
                <w:szCs w:val="24"/>
              </w:rPr>
              <w:t>less licensed by the Treasury;</w:t>
            </w:r>
          </w:p>
          <w:p w:rsidR="00340524" w:rsidRPr="00340524" w:rsidRDefault="00340524" w:rsidP="00340524">
            <w:pPr>
              <w:pStyle w:val="ListParagraph"/>
              <w:ind w:hanging="360"/>
              <w:rPr>
                <w:rFonts w:ascii="Arial" w:hAnsi="Arial" w:cs="Arial"/>
                <w:sz w:val="24"/>
                <w:szCs w:val="24"/>
              </w:rPr>
            </w:pPr>
          </w:p>
          <w:p w:rsidR="00340524" w:rsidRDefault="00E03A0F" w:rsidP="003405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 w:hanging="360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report any findings to the Treasury, together with any additional information that would facilitate compliance with the Regulation; </w:t>
            </w:r>
          </w:p>
          <w:p w:rsidR="00340524" w:rsidRPr="00340524" w:rsidRDefault="00340524" w:rsidP="00340524">
            <w:pPr>
              <w:pStyle w:val="ListParagraph"/>
              <w:ind w:hanging="360"/>
              <w:rPr>
                <w:rFonts w:ascii="Arial" w:hAnsi="Arial" w:cs="Arial"/>
                <w:sz w:val="24"/>
                <w:szCs w:val="24"/>
              </w:rPr>
            </w:pPr>
          </w:p>
          <w:p w:rsidR="00340524" w:rsidRDefault="00E03A0F" w:rsidP="003405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 w:hanging="3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524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340524">
              <w:rPr>
                <w:rFonts w:ascii="Arial" w:hAnsi="Arial" w:cs="Arial"/>
                <w:sz w:val="24"/>
                <w:szCs w:val="24"/>
              </w:rPr>
              <w:t xml:space="preserve"> any information concerning the frozen assets of designated persons that the Treasury may request. Information reported to the Treasury may be passed on to other regulatory authorities or law enforcement; </w:t>
            </w:r>
          </w:p>
          <w:p w:rsidR="00340524" w:rsidRPr="00340524" w:rsidRDefault="00340524" w:rsidP="0034052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40524" w:rsidRDefault="00E03A0F" w:rsidP="003405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Where a relevant institution has </w:t>
            </w:r>
            <w:r w:rsidRPr="00340524">
              <w:rPr>
                <w:rFonts w:ascii="Arial" w:hAnsi="Arial" w:cs="Arial"/>
                <w:sz w:val="24"/>
                <w:szCs w:val="24"/>
                <w:u w:val="single"/>
              </w:rPr>
              <w:t xml:space="preserve">already reported </w:t>
            </w:r>
            <w:r w:rsidRPr="00340524">
              <w:rPr>
                <w:rFonts w:ascii="Arial" w:hAnsi="Arial" w:cs="Arial"/>
                <w:sz w:val="24"/>
                <w:szCs w:val="24"/>
              </w:rPr>
              <w:t xml:space="preserve">details of accounts, other funds or economic resources held frozen for designated persons, </w:t>
            </w:r>
            <w:r w:rsidRPr="00340524">
              <w:rPr>
                <w:rFonts w:ascii="Arial" w:hAnsi="Arial" w:cs="Arial"/>
                <w:sz w:val="24"/>
                <w:szCs w:val="24"/>
                <w:u w:val="single"/>
              </w:rPr>
              <w:t xml:space="preserve">they are not required </w:t>
            </w:r>
            <w:r w:rsidRPr="00340524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to report these details again.</w:t>
            </w:r>
            <w:r w:rsidRPr="003405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0524" w:rsidRDefault="00340524" w:rsidP="0034052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E03A0F" w:rsidP="0034052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40524">
              <w:rPr>
                <w:rFonts w:ascii="Arial" w:hAnsi="Arial" w:cs="Arial"/>
                <w:sz w:val="24"/>
                <w:szCs w:val="24"/>
              </w:rPr>
              <w:t xml:space="preserve">Failure to comply with financial sanctions legislation or to seek to circumvent its provisions is a criminal offence. </w:t>
            </w: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P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323264">
              <w:rPr>
                <w:rFonts w:ascii="Arial" w:hAnsi="Arial" w:cs="Arial"/>
                <w:b/>
                <w:sz w:val="24"/>
                <w:szCs w:val="24"/>
              </w:rPr>
              <w:t xml:space="preserve">Legislative details </w:t>
            </w: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Pr="00323264" w:rsidRDefault="00E03A0F" w:rsidP="003232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On 7 March 2015 Council Implementing Regulation (EU) No 2015/376 (“the Amending Regulation”) was published in the Official Journal of the European Union (O.J. L 64, 7.3.2015, p.15) by the Council of the European Union. </w:t>
            </w: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Pr="00323264" w:rsidRDefault="00E03A0F" w:rsidP="003232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The Amending Regulation amended Annex III to the Regulation with effect from 8 March 2014. </w:t>
            </w: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Pr="00323264" w:rsidRDefault="00E03A0F" w:rsidP="00323264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323264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E03A0F" w:rsidP="003232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A copy of the Amending Regulation can be obtained from the website of the Official Journal of the European Union: </w:t>
            </w:r>
          </w:p>
          <w:p w:rsidR="00323264" w:rsidRPr="00323264" w:rsidRDefault="00E03A0F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3264">
              <w:rPr>
                <w:rFonts w:ascii="Arial" w:hAnsi="Arial" w:cs="Arial"/>
                <w:sz w:val="24"/>
                <w:szCs w:val="24"/>
                <w:u w:val="single"/>
              </w:rPr>
              <w:t>http://eur-lex.europa.eu/legal-content/EN/TXT/PDF/?uri=OJ:JOL_2015_064_R_0006&amp; from=EN</w:t>
            </w: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Pr="00323264" w:rsidRDefault="00E03A0F" w:rsidP="003232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Copies of relevant Releases, certain EU Regulations, UNSC Resolutions and UK legislation can be obtained from the Libya Financial Sanctions page accessible via the GOV.UK website: </w:t>
            </w:r>
          </w:p>
          <w:p w:rsidR="00323264" w:rsidRDefault="00323264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A26D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https://www.gov.uk/government/collections/financial-sanctions-regime-specificconsolidated-lists-and-releases</w:t>
              </w:r>
            </w:hyperlink>
          </w:p>
          <w:p w:rsidR="00323264" w:rsidRDefault="00323264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E03A0F" w:rsidP="003232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Further details on the UN measures in respect of Libya can be found on the relevant UN Sanctions Committee webpage: </w:t>
            </w:r>
          </w:p>
          <w:p w:rsidR="00323264" w:rsidRDefault="00323264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A26D09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http://www.un.org/sc/committees</w:t>
              </w:r>
            </w:hyperlink>
            <w:r w:rsidR="00E03A0F" w:rsidRPr="0032326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23264" w:rsidRDefault="00323264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E03A0F" w:rsidP="003232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Please note there </w:t>
            </w:r>
            <w:proofErr w:type="gramStart"/>
            <w:r w:rsidRPr="00323264">
              <w:rPr>
                <w:rFonts w:ascii="Arial" w:hAnsi="Arial" w:cs="Arial"/>
                <w:sz w:val="24"/>
                <w:szCs w:val="24"/>
              </w:rPr>
              <w:t>are also import</w:t>
            </w:r>
            <w:proofErr w:type="gramEnd"/>
            <w:r w:rsidRPr="00323264">
              <w:rPr>
                <w:rFonts w:ascii="Arial" w:hAnsi="Arial" w:cs="Arial"/>
                <w:sz w:val="24"/>
                <w:szCs w:val="24"/>
              </w:rPr>
              <w:t xml:space="preserve"> and export restrictions on Libya. Further guidance on export and trade sanctions is available from the GOV.UK website: </w:t>
            </w:r>
            <w:hyperlink r:id="rId13" w:history="1">
              <w:r w:rsidR="00323264" w:rsidRPr="00A26D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https://www.gov.uk/sanctions-embargoes-and-restrictions</w:t>
              </w:r>
            </w:hyperlink>
            <w:r w:rsidRPr="0032326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23264" w:rsidRDefault="00323264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E03A0F" w:rsidP="003232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Please see the FAQs for more information around financial sanctions: </w:t>
            </w:r>
            <w:hyperlink r:id="rId14" w:history="1">
              <w:r w:rsidR="00323264" w:rsidRPr="00A26D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323264" w:rsidRDefault="00323264" w:rsidP="0032326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3264" w:rsidRPr="005C6C3F" w:rsidRDefault="00323264" w:rsidP="0032326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323264" w:rsidRPr="005C6C3F" w:rsidRDefault="00323264" w:rsidP="0032326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3264" w:rsidRPr="005C6C3F" w:rsidRDefault="00323264" w:rsidP="003232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323264" w:rsidRPr="005C6C3F" w:rsidRDefault="00323264" w:rsidP="0032326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3264" w:rsidRPr="005C6C3F" w:rsidRDefault="00323264" w:rsidP="00323264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323264" w:rsidRPr="005C6C3F" w:rsidRDefault="00323264" w:rsidP="00323264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323264" w:rsidRPr="005C6C3F" w:rsidRDefault="00323264" w:rsidP="00323264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Phoenix House</w:t>
            </w:r>
          </w:p>
          <w:p w:rsidR="00323264" w:rsidRPr="005C6C3F" w:rsidRDefault="00323264" w:rsidP="00323264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6C3F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  <w:r w:rsidRPr="005C6C3F">
              <w:rPr>
                <w:rFonts w:ascii="Arial" w:hAnsi="Arial" w:cs="Arial"/>
                <w:sz w:val="24"/>
                <w:szCs w:val="24"/>
              </w:rPr>
              <w:t>, MSR1110</w:t>
            </w:r>
          </w:p>
          <w:p w:rsidR="00323264" w:rsidRPr="00B245AA" w:rsidRDefault="00323264" w:rsidP="00323264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323264" w:rsidRDefault="00323264" w:rsidP="00323264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5" w:history="1">
              <w:r w:rsidRPr="00B245AA">
                <w:rPr>
                  <w:rStyle w:val="Hyperlink"/>
                  <w:rFonts w:ascii="Arial" w:hAnsi="Arial" w:cs="Arial"/>
                  <w:sz w:val="24"/>
                  <w:szCs w:val="24"/>
                </w:rPr>
                <w:t>fscmrat@candw.ms</w:t>
              </w:r>
            </w:hyperlink>
          </w:p>
          <w:p w:rsidR="00323264" w:rsidRDefault="00323264" w:rsidP="0032326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323264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323264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Pr="00323264" w:rsidRDefault="00E03A0F" w:rsidP="00323264">
            <w:pPr>
              <w:pStyle w:val="ListParagraph"/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23264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ANNEX TO NOTICE</w:t>
            </w:r>
          </w:p>
          <w:p w:rsidR="00323264" w:rsidRPr="00323264" w:rsidRDefault="00323264" w:rsidP="00323264">
            <w:pPr>
              <w:pStyle w:val="ListParagraph"/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323264" w:rsidRPr="00323264" w:rsidRDefault="00E03A0F" w:rsidP="00323264">
            <w:pPr>
              <w:pStyle w:val="ListParagraph"/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64">
              <w:rPr>
                <w:rFonts w:ascii="Arial" w:hAnsi="Arial" w:cs="Arial"/>
                <w:b/>
                <w:sz w:val="24"/>
                <w:szCs w:val="24"/>
              </w:rPr>
              <w:t>FINANCIAL SANCTIONS: LIBYA</w:t>
            </w:r>
          </w:p>
          <w:p w:rsidR="00323264" w:rsidRPr="00323264" w:rsidRDefault="00323264" w:rsidP="00323264">
            <w:pPr>
              <w:pStyle w:val="ListParagraph"/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3264" w:rsidRPr="00323264" w:rsidRDefault="00E03A0F" w:rsidP="00323264">
            <w:pPr>
              <w:pStyle w:val="ListParagraph"/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64">
              <w:rPr>
                <w:rFonts w:ascii="Arial" w:hAnsi="Arial" w:cs="Arial"/>
                <w:b/>
                <w:sz w:val="24"/>
                <w:szCs w:val="24"/>
              </w:rPr>
              <w:t>COUNCIL IMPLEMENTING REGULATION (EU) No 2015/376</w:t>
            </w:r>
          </w:p>
          <w:p w:rsidR="00323264" w:rsidRPr="00323264" w:rsidRDefault="00323264" w:rsidP="00323264">
            <w:pPr>
              <w:pStyle w:val="ListParagraph"/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3264" w:rsidRPr="00323264" w:rsidRDefault="00E03A0F" w:rsidP="00323264">
            <w:pPr>
              <w:pStyle w:val="ListParagraph"/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64">
              <w:rPr>
                <w:rFonts w:ascii="Arial" w:hAnsi="Arial" w:cs="Arial"/>
                <w:b/>
                <w:sz w:val="24"/>
                <w:szCs w:val="24"/>
              </w:rPr>
              <w:t>AMENDING ANNEX III TO COUNCIL REGULATION (EU) No 204/2011</w:t>
            </w:r>
          </w:p>
          <w:p w:rsidR="00323264" w:rsidRDefault="00323264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E03A0F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b/>
                <w:sz w:val="24"/>
                <w:szCs w:val="24"/>
                <w:u w:val="single"/>
              </w:rPr>
              <w:t>AMENDMENT</w:t>
            </w:r>
            <w:r w:rsidRPr="003232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Default="00E03A0F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Deleted information appears in strikethrough. Additional information appears in italics and is underlined. </w:t>
            </w: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Pr="00323264" w:rsidRDefault="00E03A0F" w:rsidP="00323264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2326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Individual </w:t>
            </w:r>
          </w:p>
          <w:p w:rsidR="00323264" w:rsidRDefault="00323264" w:rsidP="0032326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323264" w:rsidRPr="00323264" w:rsidRDefault="00E03A0F" w:rsidP="0032326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323264">
              <w:rPr>
                <w:rFonts w:ascii="Arial" w:hAnsi="Arial" w:cs="Arial"/>
                <w:b/>
                <w:sz w:val="24"/>
                <w:szCs w:val="24"/>
              </w:rPr>
              <w:t xml:space="preserve">ABDULHAFIZ, </w:t>
            </w:r>
            <w:proofErr w:type="spellStart"/>
            <w:r w:rsidRPr="00323264">
              <w:rPr>
                <w:rFonts w:ascii="Arial" w:hAnsi="Arial" w:cs="Arial"/>
                <w:b/>
                <w:sz w:val="24"/>
                <w:szCs w:val="24"/>
              </w:rPr>
              <w:t>Mas'ud</w:t>
            </w:r>
            <w:proofErr w:type="spellEnd"/>
            <w:r w:rsidRPr="003232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23264" w:rsidRDefault="00E03A0F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Title: Colonel DOB: </w:t>
            </w:r>
            <w:r w:rsidRPr="00323264">
              <w:rPr>
                <w:rFonts w:ascii="Arial" w:hAnsi="Arial" w:cs="Arial"/>
                <w:i/>
                <w:sz w:val="24"/>
                <w:szCs w:val="24"/>
                <w:u w:val="single"/>
              </w:rPr>
              <w:t>01/01/1937</w:t>
            </w:r>
            <w:r w:rsidRPr="0032326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23264" w:rsidRDefault="00E03A0F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POB: </w:t>
            </w:r>
            <w:r w:rsidRPr="00323264">
              <w:rPr>
                <w:rFonts w:ascii="Arial" w:hAnsi="Arial" w:cs="Arial"/>
                <w:i/>
                <w:sz w:val="24"/>
                <w:szCs w:val="24"/>
                <w:u w:val="single"/>
              </w:rPr>
              <w:t>Tripoli, Libya</w:t>
            </w:r>
            <w:r w:rsidRPr="003232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264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32326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2326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ABDULHAFID, </w:t>
            </w:r>
            <w:proofErr w:type="spellStart"/>
            <w:r w:rsidRPr="00323264">
              <w:rPr>
                <w:rFonts w:ascii="Arial" w:hAnsi="Arial" w:cs="Arial"/>
                <w:i/>
                <w:sz w:val="24"/>
                <w:szCs w:val="24"/>
                <w:u w:val="single"/>
              </w:rPr>
              <w:t>Massoud</w:t>
            </w:r>
            <w:proofErr w:type="spellEnd"/>
            <w:r w:rsidRPr="003232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3264" w:rsidRDefault="00E03A0F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Position: Armed Forces Commander </w:t>
            </w:r>
          </w:p>
          <w:p w:rsidR="00323264" w:rsidRDefault="00E03A0F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Other Information: EU listing. Not UN. 3rd in command of Armed Forces. Significant role in Military Intelligence. </w:t>
            </w:r>
          </w:p>
          <w:p w:rsidR="00323264" w:rsidRDefault="00E03A0F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Listed on: 03/03/2011 </w:t>
            </w:r>
          </w:p>
          <w:p w:rsidR="00323264" w:rsidRDefault="00E03A0F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Last Updated: 10/03/2015 </w:t>
            </w:r>
          </w:p>
          <w:p w:rsidR="005C6C3F" w:rsidRPr="00323264" w:rsidRDefault="00E03A0F" w:rsidP="00323264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23264">
              <w:rPr>
                <w:rFonts w:ascii="Arial" w:hAnsi="Arial" w:cs="Arial"/>
                <w:sz w:val="24"/>
                <w:szCs w:val="24"/>
              </w:rPr>
              <w:t xml:space="preserve">Group ID: 11641. </w:t>
            </w:r>
          </w:p>
          <w:p w:rsidR="00340524" w:rsidRPr="00340524" w:rsidRDefault="00340524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323264" w:rsidRPr="00787E3D" w:rsidRDefault="00323264" w:rsidP="0032326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7E3D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323264" w:rsidRDefault="00323264" w:rsidP="00323264">
            <w:pPr>
              <w:spacing w:after="0" w:line="240" w:lineRule="auto"/>
              <w:ind w:right="-9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10/03</w:t>
            </w:r>
            <w:r w:rsidRPr="00787E3D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854C09" w:rsidRPr="009A4A89" w:rsidRDefault="00854C09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0B1" w:rsidRPr="009A4A89" w:rsidRDefault="008040B1" w:rsidP="009A4A89">
      <w:pPr>
        <w:spacing w:after="0" w:line="240" w:lineRule="auto"/>
        <w:jc w:val="both"/>
      </w:pPr>
    </w:p>
    <w:sectPr w:rsidR="008040B1" w:rsidRPr="009A4A89" w:rsidSect="00F84536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ED" w:rsidRDefault="006A47ED" w:rsidP="00A214FB">
      <w:pPr>
        <w:spacing w:after="0" w:line="240" w:lineRule="auto"/>
      </w:pPr>
      <w:r>
        <w:separator/>
      </w:r>
    </w:p>
  </w:endnote>
  <w:endnote w:type="continuationSeparator" w:id="1">
    <w:p w:rsidR="006A47ED" w:rsidRDefault="006A47ED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ED" w:rsidRDefault="006A47ED" w:rsidP="00A214FB">
      <w:pPr>
        <w:spacing w:after="0" w:line="240" w:lineRule="auto"/>
      </w:pPr>
      <w:r>
        <w:separator/>
      </w:r>
    </w:p>
  </w:footnote>
  <w:footnote w:type="continuationSeparator" w:id="1">
    <w:p w:rsidR="006A47ED" w:rsidRDefault="006A47ED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9E9"/>
    <w:multiLevelType w:val="hybridMultilevel"/>
    <w:tmpl w:val="A950EB10"/>
    <w:lvl w:ilvl="0" w:tplc="198C7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1E9F"/>
    <w:multiLevelType w:val="hybridMultilevel"/>
    <w:tmpl w:val="DD18A0DC"/>
    <w:lvl w:ilvl="0" w:tplc="2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6E718BC"/>
    <w:multiLevelType w:val="hybridMultilevel"/>
    <w:tmpl w:val="57CEEBE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537BA"/>
    <w:multiLevelType w:val="hybridMultilevel"/>
    <w:tmpl w:val="BC84BC0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5F59"/>
    <w:multiLevelType w:val="hybridMultilevel"/>
    <w:tmpl w:val="2F24E32A"/>
    <w:lvl w:ilvl="0" w:tplc="A0D6A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F0052"/>
    <w:multiLevelType w:val="hybridMultilevel"/>
    <w:tmpl w:val="9A3EA34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39D4"/>
    <w:multiLevelType w:val="hybridMultilevel"/>
    <w:tmpl w:val="C0982FEE"/>
    <w:lvl w:ilvl="0" w:tplc="2DC8A0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70AC1"/>
    <w:multiLevelType w:val="hybridMultilevel"/>
    <w:tmpl w:val="2B803D8C"/>
    <w:lvl w:ilvl="0" w:tplc="B28A0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D6B5E"/>
    <w:multiLevelType w:val="hybridMultilevel"/>
    <w:tmpl w:val="5A82B16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070D5"/>
    <w:multiLevelType w:val="hybridMultilevel"/>
    <w:tmpl w:val="763A2D52"/>
    <w:lvl w:ilvl="0" w:tplc="619E5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947CF"/>
    <w:multiLevelType w:val="hybridMultilevel"/>
    <w:tmpl w:val="1660D730"/>
    <w:lvl w:ilvl="0" w:tplc="F61AD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17CC1"/>
    <w:multiLevelType w:val="hybridMultilevel"/>
    <w:tmpl w:val="A6162B5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F0D48"/>
    <w:multiLevelType w:val="hybridMultilevel"/>
    <w:tmpl w:val="C60C7560"/>
    <w:lvl w:ilvl="0" w:tplc="687613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2988F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D616B1"/>
    <w:multiLevelType w:val="hybridMultilevel"/>
    <w:tmpl w:val="79B81F88"/>
    <w:lvl w:ilvl="0" w:tplc="C4269D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8260D1"/>
    <w:multiLevelType w:val="hybridMultilevel"/>
    <w:tmpl w:val="9F504B6E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C028D0"/>
    <w:multiLevelType w:val="hybridMultilevel"/>
    <w:tmpl w:val="FF96A83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6541"/>
    <w:multiLevelType w:val="hybridMultilevel"/>
    <w:tmpl w:val="B8181A08"/>
    <w:lvl w:ilvl="0" w:tplc="941A4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40" w:hanging="360"/>
      </w:pPr>
    </w:lvl>
    <w:lvl w:ilvl="2" w:tplc="2409001B" w:tentative="1">
      <w:start w:val="1"/>
      <w:numFmt w:val="lowerRoman"/>
      <w:lvlText w:val="%3."/>
      <w:lvlJc w:val="right"/>
      <w:pPr>
        <w:ind w:left="1860" w:hanging="180"/>
      </w:pPr>
    </w:lvl>
    <w:lvl w:ilvl="3" w:tplc="2409000F" w:tentative="1">
      <w:start w:val="1"/>
      <w:numFmt w:val="decimal"/>
      <w:lvlText w:val="%4."/>
      <w:lvlJc w:val="left"/>
      <w:pPr>
        <w:ind w:left="2580" w:hanging="360"/>
      </w:pPr>
    </w:lvl>
    <w:lvl w:ilvl="4" w:tplc="24090019" w:tentative="1">
      <w:start w:val="1"/>
      <w:numFmt w:val="lowerLetter"/>
      <w:lvlText w:val="%5."/>
      <w:lvlJc w:val="left"/>
      <w:pPr>
        <w:ind w:left="3300" w:hanging="360"/>
      </w:pPr>
    </w:lvl>
    <w:lvl w:ilvl="5" w:tplc="2409001B" w:tentative="1">
      <w:start w:val="1"/>
      <w:numFmt w:val="lowerRoman"/>
      <w:lvlText w:val="%6."/>
      <w:lvlJc w:val="right"/>
      <w:pPr>
        <w:ind w:left="4020" w:hanging="180"/>
      </w:pPr>
    </w:lvl>
    <w:lvl w:ilvl="6" w:tplc="2409000F" w:tentative="1">
      <w:start w:val="1"/>
      <w:numFmt w:val="decimal"/>
      <w:lvlText w:val="%7."/>
      <w:lvlJc w:val="left"/>
      <w:pPr>
        <w:ind w:left="4740" w:hanging="360"/>
      </w:pPr>
    </w:lvl>
    <w:lvl w:ilvl="7" w:tplc="24090019" w:tentative="1">
      <w:start w:val="1"/>
      <w:numFmt w:val="lowerLetter"/>
      <w:lvlText w:val="%8."/>
      <w:lvlJc w:val="left"/>
      <w:pPr>
        <w:ind w:left="5460" w:hanging="360"/>
      </w:pPr>
    </w:lvl>
    <w:lvl w:ilvl="8" w:tplc="2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2C12DB2"/>
    <w:multiLevelType w:val="hybridMultilevel"/>
    <w:tmpl w:val="8CE0D042"/>
    <w:lvl w:ilvl="0" w:tplc="9AF4FE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6C26D4"/>
    <w:multiLevelType w:val="hybridMultilevel"/>
    <w:tmpl w:val="108AB994"/>
    <w:lvl w:ilvl="0" w:tplc="2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C2525"/>
    <w:multiLevelType w:val="hybridMultilevel"/>
    <w:tmpl w:val="BD9E0346"/>
    <w:lvl w:ilvl="0" w:tplc="2E42262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25" w:hanging="360"/>
      </w:pPr>
    </w:lvl>
    <w:lvl w:ilvl="2" w:tplc="2409001B" w:tentative="1">
      <w:start w:val="1"/>
      <w:numFmt w:val="lowerRoman"/>
      <w:lvlText w:val="%3."/>
      <w:lvlJc w:val="right"/>
      <w:pPr>
        <w:ind w:left="1845" w:hanging="180"/>
      </w:pPr>
    </w:lvl>
    <w:lvl w:ilvl="3" w:tplc="2409000F" w:tentative="1">
      <w:start w:val="1"/>
      <w:numFmt w:val="decimal"/>
      <w:lvlText w:val="%4."/>
      <w:lvlJc w:val="left"/>
      <w:pPr>
        <w:ind w:left="2565" w:hanging="360"/>
      </w:pPr>
    </w:lvl>
    <w:lvl w:ilvl="4" w:tplc="24090019" w:tentative="1">
      <w:start w:val="1"/>
      <w:numFmt w:val="lowerLetter"/>
      <w:lvlText w:val="%5."/>
      <w:lvlJc w:val="left"/>
      <w:pPr>
        <w:ind w:left="3285" w:hanging="360"/>
      </w:pPr>
    </w:lvl>
    <w:lvl w:ilvl="5" w:tplc="2409001B" w:tentative="1">
      <w:start w:val="1"/>
      <w:numFmt w:val="lowerRoman"/>
      <w:lvlText w:val="%6."/>
      <w:lvlJc w:val="right"/>
      <w:pPr>
        <w:ind w:left="4005" w:hanging="180"/>
      </w:pPr>
    </w:lvl>
    <w:lvl w:ilvl="6" w:tplc="2409000F" w:tentative="1">
      <w:start w:val="1"/>
      <w:numFmt w:val="decimal"/>
      <w:lvlText w:val="%7."/>
      <w:lvlJc w:val="left"/>
      <w:pPr>
        <w:ind w:left="4725" w:hanging="360"/>
      </w:pPr>
    </w:lvl>
    <w:lvl w:ilvl="7" w:tplc="24090019" w:tentative="1">
      <w:start w:val="1"/>
      <w:numFmt w:val="lowerLetter"/>
      <w:lvlText w:val="%8."/>
      <w:lvlJc w:val="left"/>
      <w:pPr>
        <w:ind w:left="5445" w:hanging="360"/>
      </w:pPr>
    </w:lvl>
    <w:lvl w:ilvl="8" w:tplc="2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3"/>
  </w:num>
  <w:num w:numId="5">
    <w:abstractNumId w:val="16"/>
  </w:num>
  <w:num w:numId="6">
    <w:abstractNumId w:val="18"/>
  </w:num>
  <w:num w:numId="7">
    <w:abstractNumId w:val="12"/>
  </w:num>
  <w:num w:numId="8">
    <w:abstractNumId w:val="0"/>
  </w:num>
  <w:num w:numId="9">
    <w:abstractNumId w:val="9"/>
  </w:num>
  <w:num w:numId="10">
    <w:abstractNumId w:val="13"/>
  </w:num>
  <w:num w:numId="11">
    <w:abstractNumId w:val="19"/>
  </w:num>
  <w:num w:numId="12">
    <w:abstractNumId w:val="4"/>
  </w:num>
  <w:num w:numId="13">
    <w:abstractNumId w:val="6"/>
  </w:num>
  <w:num w:numId="14">
    <w:abstractNumId w:val="15"/>
  </w:num>
  <w:num w:numId="15">
    <w:abstractNumId w:val="8"/>
  </w:num>
  <w:num w:numId="16">
    <w:abstractNumId w:val="1"/>
  </w:num>
  <w:num w:numId="17">
    <w:abstractNumId w:val="17"/>
  </w:num>
  <w:num w:numId="18">
    <w:abstractNumId w:val="11"/>
  </w:num>
  <w:num w:numId="19">
    <w:abstractNumId w:val="2"/>
  </w:num>
  <w:num w:numId="20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11693"/>
    <w:rsid w:val="0001596D"/>
    <w:rsid w:val="000216F9"/>
    <w:rsid w:val="000230CA"/>
    <w:rsid w:val="00035665"/>
    <w:rsid w:val="00040DB5"/>
    <w:rsid w:val="000466A6"/>
    <w:rsid w:val="00047C02"/>
    <w:rsid w:val="00050014"/>
    <w:rsid w:val="00052D60"/>
    <w:rsid w:val="00056988"/>
    <w:rsid w:val="00057D74"/>
    <w:rsid w:val="000701D8"/>
    <w:rsid w:val="00071616"/>
    <w:rsid w:val="00076AC4"/>
    <w:rsid w:val="000958E3"/>
    <w:rsid w:val="000A6D6C"/>
    <w:rsid w:val="000B4879"/>
    <w:rsid w:val="000B5115"/>
    <w:rsid w:val="000C3E68"/>
    <w:rsid w:val="000F6055"/>
    <w:rsid w:val="000F731F"/>
    <w:rsid w:val="000F7E28"/>
    <w:rsid w:val="001010FB"/>
    <w:rsid w:val="00102FED"/>
    <w:rsid w:val="00115045"/>
    <w:rsid w:val="00117F43"/>
    <w:rsid w:val="0012275B"/>
    <w:rsid w:val="00135ABA"/>
    <w:rsid w:val="0013754B"/>
    <w:rsid w:val="001538C0"/>
    <w:rsid w:val="001732A3"/>
    <w:rsid w:val="001939A6"/>
    <w:rsid w:val="00193CCC"/>
    <w:rsid w:val="001975A7"/>
    <w:rsid w:val="001A7208"/>
    <w:rsid w:val="001C13E8"/>
    <w:rsid w:val="001D55F9"/>
    <w:rsid w:val="001D72F3"/>
    <w:rsid w:val="001E1DA4"/>
    <w:rsid w:val="001E2232"/>
    <w:rsid w:val="001E4907"/>
    <w:rsid w:val="00200BC9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53878"/>
    <w:rsid w:val="00260302"/>
    <w:rsid w:val="00260890"/>
    <w:rsid w:val="002610CD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7C2A"/>
    <w:rsid w:val="00323264"/>
    <w:rsid w:val="00340524"/>
    <w:rsid w:val="00344288"/>
    <w:rsid w:val="003448E2"/>
    <w:rsid w:val="00353E17"/>
    <w:rsid w:val="00374424"/>
    <w:rsid w:val="00376FE1"/>
    <w:rsid w:val="00381D34"/>
    <w:rsid w:val="00383BFA"/>
    <w:rsid w:val="003944DD"/>
    <w:rsid w:val="003A6C90"/>
    <w:rsid w:val="003B5286"/>
    <w:rsid w:val="003D2BBA"/>
    <w:rsid w:val="003D66AE"/>
    <w:rsid w:val="003D6FDE"/>
    <w:rsid w:val="003D7B68"/>
    <w:rsid w:val="003E6047"/>
    <w:rsid w:val="003F3D5E"/>
    <w:rsid w:val="003F4A12"/>
    <w:rsid w:val="003F5F98"/>
    <w:rsid w:val="003F73D0"/>
    <w:rsid w:val="00401679"/>
    <w:rsid w:val="004177D2"/>
    <w:rsid w:val="00417A71"/>
    <w:rsid w:val="00424A69"/>
    <w:rsid w:val="00440743"/>
    <w:rsid w:val="004415A3"/>
    <w:rsid w:val="0044173C"/>
    <w:rsid w:val="00442436"/>
    <w:rsid w:val="004440B0"/>
    <w:rsid w:val="00445816"/>
    <w:rsid w:val="00446DDC"/>
    <w:rsid w:val="00451F88"/>
    <w:rsid w:val="0046057D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4E08"/>
    <w:rsid w:val="004E6D8E"/>
    <w:rsid w:val="004F1929"/>
    <w:rsid w:val="005022D1"/>
    <w:rsid w:val="00514B26"/>
    <w:rsid w:val="00516473"/>
    <w:rsid w:val="00525D7C"/>
    <w:rsid w:val="00530DB9"/>
    <w:rsid w:val="00550C9D"/>
    <w:rsid w:val="00551EFB"/>
    <w:rsid w:val="00554081"/>
    <w:rsid w:val="00554F1D"/>
    <w:rsid w:val="005675B7"/>
    <w:rsid w:val="005705A9"/>
    <w:rsid w:val="0058072A"/>
    <w:rsid w:val="00581B89"/>
    <w:rsid w:val="00583B2F"/>
    <w:rsid w:val="00590254"/>
    <w:rsid w:val="005B3428"/>
    <w:rsid w:val="005B40D1"/>
    <w:rsid w:val="005B5C99"/>
    <w:rsid w:val="005C6C3F"/>
    <w:rsid w:val="005D32C0"/>
    <w:rsid w:val="005E264C"/>
    <w:rsid w:val="005E3464"/>
    <w:rsid w:val="005F2D90"/>
    <w:rsid w:val="005F3395"/>
    <w:rsid w:val="0060448B"/>
    <w:rsid w:val="00610EEC"/>
    <w:rsid w:val="006164AC"/>
    <w:rsid w:val="00616B0E"/>
    <w:rsid w:val="0062126F"/>
    <w:rsid w:val="00621E9B"/>
    <w:rsid w:val="00622A8A"/>
    <w:rsid w:val="00627ADE"/>
    <w:rsid w:val="00637112"/>
    <w:rsid w:val="00655054"/>
    <w:rsid w:val="00660FA5"/>
    <w:rsid w:val="00667665"/>
    <w:rsid w:val="006717FF"/>
    <w:rsid w:val="00671B8A"/>
    <w:rsid w:val="0069209E"/>
    <w:rsid w:val="00697397"/>
    <w:rsid w:val="006A47ED"/>
    <w:rsid w:val="006B14D8"/>
    <w:rsid w:val="006B488B"/>
    <w:rsid w:val="006C74AF"/>
    <w:rsid w:val="006E2800"/>
    <w:rsid w:val="006E552C"/>
    <w:rsid w:val="00701AB9"/>
    <w:rsid w:val="007055C9"/>
    <w:rsid w:val="00712BEF"/>
    <w:rsid w:val="00723706"/>
    <w:rsid w:val="00731A0E"/>
    <w:rsid w:val="00734CD9"/>
    <w:rsid w:val="007371B9"/>
    <w:rsid w:val="00752C6A"/>
    <w:rsid w:val="00766CB2"/>
    <w:rsid w:val="00787E3D"/>
    <w:rsid w:val="00794955"/>
    <w:rsid w:val="00794DEC"/>
    <w:rsid w:val="00796EA8"/>
    <w:rsid w:val="007A0964"/>
    <w:rsid w:val="007B1B41"/>
    <w:rsid w:val="007C3F0D"/>
    <w:rsid w:val="007D0208"/>
    <w:rsid w:val="007D37FB"/>
    <w:rsid w:val="007D5234"/>
    <w:rsid w:val="007E467B"/>
    <w:rsid w:val="007E6FE5"/>
    <w:rsid w:val="007E76C8"/>
    <w:rsid w:val="007F1CCA"/>
    <w:rsid w:val="007F723A"/>
    <w:rsid w:val="008040B1"/>
    <w:rsid w:val="0080586A"/>
    <w:rsid w:val="00810736"/>
    <w:rsid w:val="0081666D"/>
    <w:rsid w:val="0081678B"/>
    <w:rsid w:val="0082712A"/>
    <w:rsid w:val="008276A0"/>
    <w:rsid w:val="00836CCA"/>
    <w:rsid w:val="00851853"/>
    <w:rsid w:val="00851E4F"/>
    <w:rsid w:val="008534E8"/>
    <w:rsid w:val="00854C09"/>
    <w:rsid w:val="008615CB"/>
    <w:rsid w:val="00866044"/>
    <w:rsid w:val="0088443B"/>
    <w:rsid w:val="008915BD"/>
    <w:rsid w:val="008923E8"/>
    <w:rsid w:val="008D786D"/>
    <w:rsid w:val="008E4FAA"/>
    <w:rsid w:val="008E7556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57F65"/>
    <w:rsid w:val="009675F1"/>
    <w:rsid w:val="00970DC3"/>
    <w:rsid w:val="0099708A"/>
    <w:rsid w:val="009A3F84"/>
    <w:rsid w:val="009A4A89"/>
    <w:rsid w:val="009B0A74"/>
    <w:rsid w:val="009B4140"/>
    <w:rsid w:val="009D240E"/>
    <w:rsid w:val="009D2788"/>
    <w:rsid w:val="009D5BD0"/>
    <w:rsid w:val="009F0B25"/>
    <w:rsid w:val="009F394F"/>
    <w:rsid w:val="00A02FA2"/>
    <w:rsid w:val="00A1165C"/>
    <w:rsid w:val="00A15ED0"/>
    <w:rsid w:val="00A169A1"/>
    <w:rsid w:val="00A214FB"/>
    <w:rsid w:val="00A25597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F4F"/>
    <w:rsid w:val="00A90BE3"/>
    <w:rsid w:val="00A95BEB"/>
    <w:rsid w:val="00AB0C45"/>
    <w:rsid w:val="00AD228D"/>
    <w:rsid w:val="00AE2688"/>
    <w:rsid w:val="00AE597C"/>
    <w:rsid w:val="00AE7010"/>
    <w:rsid w:val="00AF3241"/>
    <w:rsid w:val="00AF584C"/>
    <w:rsid w:val="00AF66EF"/>
    <w:rsid w:val="00B00A63"/>
    <w:rsid w:val="00B02E1C"/>
    <w:rsid w:val="00B245AA"/>
    <w:rsid w:val="00B32F0D"/>
    <w:rsid w:val="00B34380"/>
    <w:rsid w:val="00B42945"/>
    <w:rsid w:val="00B44AD6"/>
    <w:rsid w:val="00B46001"/>
    <w:rsid w:val="00B519FE"/>
    <w:rsid w:val="00B77456"/>
    <w:rsid w:val="00B77FBF"/>
    <w:rsid w:val="00B91EC1"/>
    <w:rsid w:val="00B91ECC"/>
    <w:rsid w:val="00BA4B3E"/>
    <w:rsid w:val="00BB55CD"/>
    <w:rsid w:val="00BC3CD3"/>
    <w:rsid w:val="00BD1951"/>
    <w:rsid w:val="00BD20AC"/>
    <w:rsid w:val="00BD30DF"/>
    <w:rsid w:val="00BE7053"/>
    <w:rsid w:val="00C00A8D"/>
    <w:rsid w:val="00C058D3"/>
    <w:rsid w:val="00C109A4"/>
    <w:rsid w:val="00C23E37"/>
    <w:rsid w:val="00C311E3"/>
    <w:rsid w:val="00C333CC"/>
    <w:rsid w:val="00C54BDF"/>
    <w:rsid w:val="00C54D52"/>
    <w:rsid w:val="00C56129"/>
    <w:rsid w:val="00C56BA5"/>
    <w:rsid w:val="00C56FEC"/>
    <w:rsid w:val="00C56FF9"/>
    <w:rsid w:val="00C61E50"/>
    <w:rsid w:val="00C6402F"/>
    <w:rsid w:val="00C7246C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D026B6"/>
    <w:rsid w:val="00D16A5F"/>
    <w:rsid w:val="00D254C6"/>
    <w:rsid w:val="00D30528"/>
    <w:rsid w:val="00D30AC0"/>
    <w:rsid w:val="00D32089"/>
    <w:rsid w:val="00D45700"/>
    <w:rsid w:val="00D47B69"/>
    <w:rsid w:val="00D526EC"/>
    <w:rsid w:val="00D60562"/>
    <w:rsid w:val="00D63059"/>
    <w:rsid w:val="00D700FC"/>
    <w:rsid w:val="00D70C34"/>
    <w:rsid w:val="00D74901"/>
    <w:rsid w:val="00D808DE"/>
    <w:rsid w:val="00D80922"/>
    <w:rsid w:val="00D84710"/>
    <w:rsid w:val="00D915F6"/>
    <w:rsid w:val="00D92030"/>
    <w:rsid w:val="00DB11A7"/>
    <w:rsid w:val="00DB7841"/>
    <w:rsid w:val="00DC45F2"/>
    <w:rsid w:val="00DD4EAF"/>
    <w:rsid w:val="00DD7CD5"/>
    <w:rsid w:val="00DF0036"/>
    <w:rsid w:val="00DF2EDF"/>
    <w:rsid w:val="00DF3AD8"/>
    <w:rsid w:val="00DF4810"/>
    <w:rsid w:val="00DF670E"/>
    <w:rsid w:val="00E03A0F"/>
    <w:rsid w:val="00E07765"/>
    <w:rsid w:val="00E104FE"/>
    <w:rsid w:val="00E138C8"/>
    <w:rsid w:val="00E15DC9"/>
    <w:rsid w:val="00E21282"/>
    <w:rsid w:val="00E216D8"/>
    <w:rsid w:val="00E33A54"/>
    <w:rsid w:val="00E36330"/>
    <w:rsid w:val="00E41B37"/>
    <w:rsid w:val="00E432E6"/>
    <w:rsid w:val="00E823B6"/>
    <w:rsid w:val="00E8393C"/>
    <w:rsid w:val="00E95C1C"/>
    <w:rsid w:val="00E9601A"/>
    <w:rsid w:val="00EA0923"/>
    <w:rsid w:val="00EC39F2"/>
    <w:rsid w:val="00ED05DA"/>
    <w:rsid w:val="00ED7FAE"/>
    <w:rsid w:val="00EE4D5D"/>
    <w:rsid w:val="00EE7366"/>
    <w:rsid w:val="00EE7B04"/>
    <w:rsid w:val="00EE7E7F"/>
    <w:rsid w:val="00EF0E14"/>
    <w:rsid w:val="00EF2944"/>
    <w:rsid w:val="00EF36C6"/>
    <w:rsid w:val="00EF6299"/>
    <w:rsid w:val="00F26443"/>
    <w:rsid w:val="00F36709"/>
    <w:rsid w:val="00F40F31"/>
    <w:rsid w:val="00F4575B"/>
    <w:rsid w:val="00F50214"/>
    <w:rsid w:val="00F50B27"/>
    <w:rsid w:val="00F52276"/>
    <w:rsid w:val="00F52D56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B0F1B"/>
    <w:rsid w:val="00FB1385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sanctions-embargoes-and-restr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scmrat@candw.ms" TargetMode="External"/><Relationship Id="rId10" Type="http://schemas.openxmlformats.org/officeDocument/2006/relationships/hyperlink" Target="https://www.gov.uk/government/uploads/system/uploads/attachment_data/file/390369/Libya_al_Dam_delisting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B79C-4D23-4D61-908F-8E9276D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14</cp:revision>
  <cp:lastPrinted>2015-02-25T13:47:00Z</cp:lastPrinted>
  <dcterms:created xsi:type="dcterms:W3CDTF">2015-03-10T18:55:00Z</dcterms:created>
  <dcterms:modified xsi:type="dcterms:W3CDTF">2015-03-10T19:12:00Z</dcterms:modified>
</cp:coreProperties>
</file>