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633BF">
      <w:pPr>
        <w:pStyle w:val="Default"/>
        <w:jc w:val="both"/>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633BF">
      <w:pPr>
        <w:pStyle w:val="Default"/>
        <w:jc w:val="both"/>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E76CB5">
              <w:trPr>
                <w:trHeight w:val="13680"/>
              </w:trPr>
              <w:tc>
                <w:tcPr>
                  <w:tcW w:w="9270" w:type="dxa"/>
                </w:tcPr>
                <w:p w:rsidR="00DB11A7" w:rsidRPr="001C2757" w:rsidRDefault="00DB11A7" w:rsidP="007633BF">
                  <w:pPr>
                    <w:pStyle w:val="Default"/>
                    <w:ind w:right="-90"/>
                    <w:jc w:val="both"/>
                    <w:rPr>
                      <w:rFonts w:ascii="Arial" w:hAnsi="Arial" w:cs="Arial"/>
                      <w:b/>
                    </w:rPr>
                  </w:pPr>
                </w:p>
                <w:p w:rsidR="00FD1536" w:rsidRPr="001C2757" w:rsidRDefault="00B74CF5" w:rsidP="007633BF">
                  <w:pPr>
                    <w:pStyle w:val="Default"/>
                    <w:ind w:left="-108" w:right="-90"/>
                    <w:jc w:val="both"/>
                    <w:rPr>
                      <w:rFonts w:ascii="Arial" w:hAnsi="Arial" w:cs="Arial"/>
                    </w:rPr>
                  </w:pPr>
                  <w:r>
                    <w:rPr>
                      <w:rFonts w:ascii="Arial" w:hAnsi="Arial" w:cs="Arial"/>
                    </w:rPr>
                    <w:t>0</w:t>
                  </w:r>
                  <w:r w:rsidR="00AA7A5D">
                    <w:rPr>
                      <w:rFonts w:ascii="Arial" w:hAnsi="Arial" w:cs="Arial"/>
                    </w:rPr>
                    <w:t>3</w:t>
                  </w:r>
                  <w:r>
                    <w:rPr>
                      <w:rFonts w:ascii="Arial" w:hAnsi="Arial" w:cs="Arial"/>
                    </w:rPr>
                    <w:t xml:space="preserve"> March </w:t>
                  </w:r>
                  <w:r w:rsidR="00FE79F0" w:rsidRPr="001C2757">
                    <w:rPr>
                      <w:rFonts w:ascii="Arial" w:hAnsi="Arial" w:cs="Arial"/>
                    </w:rPr>
                    <w:t>201</w:t>
                  </w:r>
                  <w:r w:rsidR="004D2513">
                    <w:rPr>
                      <w:rFonts w:ascii="Arial" w:hAnsi="Arial" w:cs="Arial"/>
                    </w:rPr>
                    <w:t>6</w:t>
                  </w:r>
                </w:p>
                <w:p w:rsidR="00FD1536" w:rsidRPr="001C2757" w:rsidRDefault="00FD1536" w:rsidP="007633BF">
                  <w:pPr>
                    <w:pStyle w:val="Default"/>
                    <w:ind w:left="-18" w:right="-90"/>
                    <w:jc w:val="both"/>
                    <w:rPr>
                      <w:rFonts w:ascii="Arial" w:hAnsi="Arial" w:cs="Arial"/>
                      <w:b/>
                    </w:rPr>
                  </w:pPr>
                </w:p>
                <w:p w:rsidR="00D27049" w:rsidRPr="00ED645F" w:rsidRDefault="00D27049" w:rsidP="007633BF">
                  <w:pPr>
                    <w:spacing w:after="0" w:line="240" w:lineRule="auto"/>
                    <w:ind w:right="-90"/>
                    <w:jc w:val="center"/>
                    <w:rPr>
                      <w:rFonts w:ascii="Arial" w:hAnsi="Arial" w:cs="Arial"/>
                      <w:b/>
                      <w:sz w:val="24"/>
                      <w:szCs w:val="24"/>
                    </w:rPr>
                  </w:pPr>
                </w:p>
                <w:p w:rsidR="00E219F2" w:rsidRPr="00E219F2" w:rsidRDefault="004B0FD7" w:rsidP="00E219F2">
                  <w:pPr>
                    <w:pStyle w:val="Default"/>
                    <w:ind w:left="720"/>
                    <w:jc w:val="center"/>
                    <w:rPr>
                      <w:b/>
                    </w:rPr>
                  </w:pPr>
                  <w:r>
                    <w:rPr>
                      <w:b/>
                    </w:rPr>
                    <w:t>Libya</w:t>
                  </w:r>
                </w:p>
                <w:p w:rsidR="00E219F2" w:rsidRDefault="00E219F2" w:rsidP="007633BF">
                  <w:pPr>
                    <w:pStyle w:val="Default"/>
                    <w:ind w:left="720"/>
                    <w:jc w:val="both"/>
                  </w:pPr>
                </w:p>
                <w:p w:rsidR="00C415C8" w:rsidRPr="00C415C8" w:rsidRDefault="00C415C8" w:rsidP="00750ACB">
                  <w:pPr>
                    <w:pStyle w:val="Default"/>
                    <w:jc w:val="both"/>
                    <w:rPr>
                      <w:b/>
                    </w:rPr>
                  </w:pPr>
                  <w:r w:rsidRPr="00C415C8">
                    <w:rPr>
                      <w:b/>
                    </w:rPr>
                    <w:t xml:space="preserve">Revocation of General </w:t>
                  </w:r>
                  <w:proofErr w:type="spellStart"/>
                  <w:r w:rsidRPr="00C415C8">
                    <w:rPr>
                      <w:b/>
                    </w:rPr>
                    <w:t>Licence</w:t>
                  </w:r>
                  <w:proofErr w:type="spellEnd"/>
                  <w:r w:rsidRPr="00C415C8">
                    <w:rPr>
                      <w:b/>
                    </w:rPr>
                    <w:t xml:space="preserve"> </w:t>
                  </w:r>
                </w:p>
                <w:p w:rsidR="00C415C8" w:rsidRDefault="00C415C8" w:rsidP="00750ACB">
                  <w:pPr>
                    <w:pStyle w:val="Default"/>
                    <w:jc w:val="both"/>
                  </w:pPr>
                </w:p>
                <w:p w:rsidR="00C415C8" w:rsidRDefault="00C415C8" w:rsidP="00C415C8">
                  <w:pPr>
                    <w:pStyle w:val="Default"/>
                    <w:numPr>
                      <w:ilvl w:val="0"/>
                      <w:numId w:val="16"/>
                    </w:numPr>
                    <w:jc w:val="both"/>
                  </w:pPr>
                  <w:r>
                    <w:t xml:space="preserve">The Governor has revoked “Libya General </w:t>
                  </w:r>
                  <w:proofErr w:type="spellStart"/>
                  <w:r>
                    <w:t>Licence</w:t>
                  </w:r>
                  <w:proofErr w:type="spellEnd"/>
                  <w:r>
                    <w:t xml:space="preserve"> 1” with immediate effect. </w:t>
                  </w:r>
                </w:p>
                <w:p w:rsidR="00C415C8" w:rsidRDefault="00C415C8" w:rsidP="00750ACB">
                  <w:pPr>
                    <w:pStyle w:val="Default"/>
                    <w:jc w:val="both"/>
                  </w:pPr>
                </w:p>
                <w:p w:rsidR="00C415C8" w:rsidRDefault="00C415C8" w:rsidP="00C415C8">
                  <w:pPr>
                    <w:pStyle w:val="Default"/>
                    <w:numPr>
                      <w:ilvl w:val="0"/>
                      <w:numId w:val="16"/>
                    </w:numPr>
                    <w:jc w:val="both"/>
                  </w:pPr>
                  <w:r>
                    <w:t xml:space="preserve">Any acts being undertaken under this </w:t>
                  </w:r>
                  <w:proofErr w:type="spellStart"/>
                  <w:r>
                    <w:t>licence</w:t>
                  </w:r>
                  <w:proofErr w:type="spellEnd"/>
                  <w:r>
                    <w:t xml:space="preserve"> which would otherwise be prohibited by the Libya (Financial Sanctions) Order 2011 or Council Regulation (EU) 2016/44 (“the Regulation”) must now be </w:t>
                  </w:r>
                  <w:proofErr w:type="spellStart"/>
                  <w:r>
                    <w:t>authorised</w:t>
                  </w:r>
                  <w:proofErr w:type="spellEnd"/>
                  <w:r>
                    <w:t xml:space="preserve"> under a new </w:t>
                  </w:r>
                  <w:proofErr w:type="spellStart"/>
                  <w:r>
                    <w:t>licence</w:t>
                  </w:r>
                  <w:proofErr w:type="spellEnd"/>
                  <w:r>
                    <w:t xml:space="preserve"> taking into account the </w:t>
                  </w:r>
                  <w:proofErr w:type="spellStart"/>
                  <w:r>
                    <w:t>licencing</w:t>
                  </w:r>
                  <w:proofErr w:type="spellEnd"/>
                  <w:r>
                    <w:t xml:space="preserve"> grounds in the Regulation. </w:t>
                  </w:r>
                </w:p>
                <w:p w:rsidR="00C415C8" w:rsidRDefault="00C415C8" w:rsidP="00750ACB">
                  <w:pPr>
                    <w:pStyle w:val="Default"/>
                    <w:jc w:val="both"/>
                  </w:pPr>
                </w:p>
                <w:p w:rsidR="00C415C8" w:rsidRDefault="00C415C8" w:rsidP="00C415C8">
                  <w:pPr>
                    <w:pStyle w:val="Default"/>
                    <w:numPr>
                      <w:ilvl w:val="0"/>
                      <w:numId w:val="16"/>
                    </w:numPr>
                    <w:jc w:val="both"/>
                  </w:pPr>
                  <w:r>
                    <w:t xml:space="preserve">A copy of the Regulation can be found here: </w:t>
                  </w:r>
                </w:p>
                <w:p w:rsidR="00C415C8" w:rsidRDefault="00C415C8" w:rsidP="00C415C8">
                  <w:pPr>
                    <w:pStyle w:val="Default"/>
                    <w:ind w:left="702"/>
                    <w:jc w:val="both"/>
                  </w:pPr>
                  <w:hyperlink r:id="rId10" w:history="1">
                    <w:r w:rsidRPr="004E7B10">
                      <w:rPr>
                        <w:rStyle w:val="Hyperlink"/>
                      </w:rPr>
                      <w:t>http://eur-lex.europa.eu/legal-content/EN/TXT/HTML/?uri=CELEX:32016R0044&amp;from=EN</w:t>
                    </w:r>
                  </w:hyperlink>
                  <w:r>
                    <w:t xml:space="preserve"> </w:t>
                  </w:r>
                </w:p>
                <w:p w:rsidR="00C415C8" w:rsidRDefault="00C415C8" w:rsidP="00750ACB">
                  <w:pPr>
                    <w:pStyle w:val="Default"/>
                    <w:jc w:val="both"/>
                  </w:pPr>
                </w:p>
                <w:p w:rsidR="00C415C8" w:rsidRDefault="00C415C8" w:rsidP="00C415C8">
                  <w:pPr>
                    <w:pStyle w:val="Default"/>
                    <w:numPr>
                      <w:ilvl w:val="0"/>
                      <w:numId w:val="16"/>
                    </w:numPr>
                    <w:jc w:val="both"/>
                  </w:pPr>
                  <w:r>
                    <w:t xml:space="preserve">The generic </w:t>
                  </w:r>
                  <w:proofErr w:type="spellStart"/>
                  <w:r>
                    <w:t>licence</w:t>
                  </w:r>
                  <w:proofErr w:type="spellEnd"/>
                  <w:r>
                    <w:t xml:space="preserve"> application form can be found here:</w:t>
                  </w:r>
                </w:p>
                <w:p w:rsidR="00C415C8" w:rsidRDefault="00C415C8" w:rsidP="00C415C8">
                  <w:pPr>
                    <w:pStyle w:val="Default"/>
                    <w:ind w:left="702"/>
                    <w:jc w:val="both"/>
                  </w:pPr>
                  <w:hyperlink r:id="rId11" w:history="1">
                    <w:r w:rsidRPr="004E7B10">
                      <w:rPr>
                        <w:rStyle w:val="Hyperlink"/>
                      </w:rPr>
                      <w:t>https://www.gov.uk/guidance/sanctions-embargoes-and-restrictions</w:t>
                    </w:r>
                  </w:hyperlink>
                </w:p>
                <w:p w:rsidR="00C415C8" w:rsidRDefault="00C415C8" w:rsidP="00750ACB">
                  <w:pPr>
                    <w:pStyle w:val="Default"/>
                    <w:jc w:val="both"/>
                  </w:pPr>
                </w:p>
                <w:p w:rsidR="00C415C8" w:rsidRDefault="00C415C8" w:rsidP="00C415C8">
                  <w:pPr>
                    <w:pStyle w:val="Default"/>
                    <w:numPr>
                      <w:ilvl w:val="0"/>
                      <w:numId w:val="16"/>
                    </w:numPr>
                    <w:jc w:val="both"/>
                  </w:pPr>
                  <w:r>
                    <w:t xml:space="preserve">A copy of the revoked </w:t>
                  </w:r>
                  <w:proofErr w:type="spellStart"/>
                  <w:r>
                    <w:t>licence</w:t>
                  </w:r>
                  <w:proofErr w:type="spellEnd"/>
                  <w:r>
                    <w:t xml:space="preserve"> can be found in the Annex to this Notice. </w:t>
                  </w:r>
                </w:p>
                <w:p w:rsidR="00C415C8" w:rsidRDefault="00C415C8" w:rsidP="00C415C8">
                  <w:pPr>
                    <w:pStyle w:val="Default"/>
                    <w:jc w:val="both"/>
                  </w:pPr>
                </w:p>
                <w:p w:rsidR="00C415C8" w:rsidRPr="00C415C8" w:rsidRDefault="00C415C8" w:rsidP="00C415C8">
                  <w:pPr>
                    <w:pStyle w:val="Default"/>
                    <w:jc w:val="both"/>
                    <w:rPr>
                      <w:b/>
                    </w:rPr>
                  </w:pPr>
                  <w:r w:rsidRPr="00C415C8">
                    <w:rPr>
                      <w:b/>
                    </w:rPr>
                    <w:t xml:space="preserve">Further Information </w:t>
                  </w:r>
                </w:p>
                <w:p w:rsidR="00C415C8" w:rsidRDefault="00C415C8" w:rsidP="00750ACB">
                  <w:pPr>
                    <w:pStyle w:val="Default"/>
                    <w:jc w:val="both"/>
                  </w:pPr>
                </w:p>
                <w:p w:rsidR="00C415C8" w:rsidRDefault="00C415C8" w:rsidP="00C415C8">
                  <w:pPr>
                    <w:pStyle w:val="Default"/>
                    <w:numPr>
                      <w:ilvl w:val="0"/>
                      <w:numId w:val="16"/>
                    </w:numPr>
                    <w:jc w:val="both"/>
                  </w:pPr>
                  <w:r>
                    <w:t xml:space="preserve">Copies of relevant Notices, certain EU Regulations, UNSC Resolutions and UK legislation can be obtained from the Libya financial sanctions page on the GOV.UK website: </w:t>
                  </w:r>
                </w:p>
                <w:p w:rsidR="00C415C8" w:rsidRDefault="00C415C8" w:rsidP="00C415C8">
                  <w:pPr>
                    <w:pStyle w:val="Default"/>
                    <w:ind w:left="702"/>
                    <w:jc w:val="both"/>
                  </w:pPr>
                  <w:hyperlink r:id="rId12" w:history="1">
                    <w:r w:rsidRPr="004E7B10">
                      <w:rPr>
                        <w:rStyle w:val="Hyperlink"/>
                      </w:rPr>
                      <w:t>https://www.gov.uk/government/collections/financial-sanctions-regime-specificconsolidated-lists-and-releases</w:t>
                    </w:r>
                  </w:hyperlink>
                </w:p>
                <w:p w:rsidR="00C415C8" w:rsidRDefault="00C415C8" w:rsidP="00750ACB">
                  <w:pPr>
                    <w:pStyle w:val="Default"/>
                    <w:jc w:val="both"/>
                  </w:pPr>
                </w:p>
                <w:p w:rsidR="00C415C8" w:rsidRDefault="00C415C8" w:rsidP="00C415C8">
                  <w:pPr>
                    <w:pStyle w:val="Default"/>
                    <w:numPr>
                      <w:ilvl w:val="0"/>
                      <w:numId w:val="16"/>
                    </w:numPr>
                    <w:jc w:val="both"/>
                  </w:pPr>
                  <w:r>
                    <w:t>Further details on the UN measures in respect of the Libya sanctions regime can be found on the relevant UN Sanctions Committee webpage:</w:t>
                  </w:r>
                </w:p>
                <w:p w:rsidR="00C415C8" w:rsidRDefault="00C415C8" w:rsidP="00C415C8">
                  <w:pPr>
                    <w:pStyle w:val="Default"/>
                    <w:ind w:left="702"/>
                    <w:jc w:val="both"/>
                  </w:pPr>
                  <w:hyperlink r:id="rId13" w:history="1">
                    <w:r w:rsidRPr="004E7B10">
                      <w:rPr>
                        <w:rStyle w:val="Hyperlink"/>
                      </w:rPr>
                      <w:t>http://www.un.org/sc/committees</w:t>
                    </w:r>
                  </w:hyperlink>
                  <w:r>
                    <w:t>.</w:t>
                  </w:r>
                </w:p>
                <w:p w:rsidR="00C415C8" w:rsidRDefault="00C415C8" w:rsidP="00750ACB">
                  <w:pPr>
                    <w:pStyle w:val="Default"/>
                    <w:jc w:val="both"/>
                  </w:pPr>
                </w:p>
                <w:p w:rsidR="00C415C8" w:rsidRDefault="00C415C8" w:rsidP="00C415C8">
                  <w:pPr>
                    <w:pStyle w:val="Default"/>
                    <w:numPr>
                      <w:ilvl w:val="0"/>
                      <w:numId w:val="16"/>
                    </w:numPr>
                    <w:jc w:val="both"/>
                  </w:pPr>
                  <w:r>
                    <w:t>Please see the FAQs for more information on financial sanctions:</w:t>
                  </w:r>
                </w:p>
                <w:p w:rsidR="00C415C8" w:rsidRDefault="00C415C8" w:rsidP="00C415C8">
                  <w:pPr>
                    <w:pStyle w:val="Default"/>
                    <w:ind w:left="702"/>
                    <w:jc w:val="both"/>
                  </w:pPr>
                  <w:hyperlink r:id="rId14" w:history="1">
                    <w:r w:rsidRPr="004E7B10">
                      <w:rPr>
                        <w:rStyle w:val="Hyperlink"/>
                      </w:rPr>
                      <w:t>https://www.gov.uk/government/publications/financial-sanctions-faqs</w:t>
                    </w:r>
                  </w:hyperlink>
                </w:p>
                <w:p w:rsidR="00C415C8" w:rsidRDefault="00C415C8" w:rsidP="00750ACB">
                  <w:pPr>
                    <w:pStyle w:val="Default"/>
                    <w:jc w:val="both"/>
                  </w:pPr>
                </w:p>
                <w:p w:rsidR="00C415C8" w:rsidRDefault="00C415C8" w:rsidP="00750ACB">
                  <w:pPr>
                    <w:pStyle w:val="Default"/>
                    <w:jc w:val="both"/>
                  </w:pPr>
                </w:p>
                <w:p w:rsidR="00C415C8" w:rsidRDefault="00C415C8" w:rsidP="00750ACB">
                  <w:pPr>
                    <w:pStyle w:val="Default"/>
                    <w:jc w:val="both"/>
                  </w:pPr>
                </w:p>
                <w:p w:rsidR="00C415C8" w:rsidRDefault="00C415C8" w:rsidP="00750ACB">
                  <w:pPr>
                    <w:pStyle w:val="Default"/>
                    <w:jc w:val="both"/>
                  </w:pPr>
                </w:p>
                <w:p w:rsidR="00C415C8" w:rsidRDefault="00C415C8" w:rsidP="00750ACB">
                  <w:pPr>
                    <w:pStyle w:val="Default"/>
                    <w:jc w:val="both"/>
                  </w:pPr>
                </w:p>
                <w:p w:rsidR="00C415C8" w:rsidRDefault="00C415C8" w:rsidP="00750ACB">
                  <w:pPr>
                    <w:pStyle w:val="Default"/>
                    <w:jc w:val="both"/>
                  </w:pPr>
                </w:p>
                <w:p w:rsidR="00C415C8" w:rsidRDefault="00C415C8" w:rsidP="00750ACB">
                  <w:pPr>
                    <w:pStyle w:val="Default"/>
                    <w:jc w:val="both"/>
                  </w:pPr>
                </w:p>
                <w:p w:rsidR="00750ACB" w:rsidRPr="00750ACB" w:rsidRDefault="00E219F2" w:rsidP="00750ACB">
                  <w:pPr>
                    <w:pStyle w:val="Default"/>
                    <w:jc w:val="both"/>
                    <w:rPr>
                      <w:b/>
                    </w:rPr>
                  </w:pPr>
                  <w:r w:rsidRPr="00750ACB">
                    <w:rPr>
                      <w:b/>
                    </w:rPr>
                    <w:lastRenderedPageBreak/>
                    <w:t xml:space="preserve">Enquiries / Contact details </w:t>
                  </w:r>
                </w:p>
                <w:p w:rsidR="00E219F2" w:rsidRPr="007633BF" w:rsidRDefault="00E219F2" w:rsidP="007633BF">
                  <w:pPr>
                    <w:pStyle w:val="Default"/>
                    <w:ind w:left="720"/>
                    <w:jc w:val="both"/>
                    <w:rPr>
                      <w:rFonts w:ascii="Arial" w:hAnsi="Arial" w:cs="Arial"/>
                    </w:rPr>
                  </w:pPr>
                </w:p>
                <w:p w:rsidR="007633BF" w:rsidRPr="00750ACB" w:rsidRDefault="007633BF" w:rsidP="00C415C8">
                  <w:pPr>
                    <w:pStyle w:val="ListParagraph"/>
                    <w:numPr>
                      <w:ilvl w:val="0"/>
                      <w:numId w:val="16"/>
                    </w:numPr>
                    <w:spacing w:after="0" w:line="240" w:lineRule="auto"/>
                    <w:ind w:right="-90"/>
                    <w:jc w:val="both"/>
                    <w:rPr>
                      <w:rFonts w:ascii="Arial" w:hAnsi="Arial" w:cs="Arial"/>
                      <w:sz w:val="24"/>
                      <w:szCs w:val="24"/>
                    </w:rPr>
                  </w:pPr>
                  <w:r w:rsidRPr="00750ACB">
                    <w:rPr>
                      <w:rFonts w:ascii="Arial" w:hAnsi="Arial" w:cs="Arial"/>
                      <w:sz w:val="24"/>
                      <w:szCs w:val="24"/>
                    </w:rPr>
                    <w:t>Non-media enquiries should be addressed to:</w:t>
                  </w:r>
                </w:p>
                <w:p w:rsidR="007633BF" w:rsidRPr="007633BF" w:rsidRDefault="007633BF" w:rsidP="007633BF">
                  <w:pPr>
                    <w:tabs>
                      <w:tab w:val="left" w:pos="702"/>
                    </w:tabs>
                    <w:spacing w:after="0" w:line="240" w:lineRule="auto"/>
                    <w:jc w:val="both"/>
                    <w:rPr>
                      <w:rFonts w:ascii="Arial" w:hAnsi="Arial" w:cs="Arial"/>
                      <w:sz w:val="24"/>
                      <w:szCs w:val="24"/>
                    </w:rPr>
                  </w:pPr>
                </w:p>
                <w:p w:rsidR="007633BF" w:rsidRPr="007633BF" w:rsidRDefault="007633BF" w:rsidP="007633BF">
                  <w:pPr>
                    <w:pStyle w:val="ListParagraph"/>
                    <w:tabs>
                      <w:tab w:val="left" w:pos="702"/>
                    </w:tabs>
                    <w:spacing w:after="0" w:line="240" w:lineRule="auto"/>
                    <w:jc w:val="both"/>
                    <w:rPr>
                      <w:rFonts w:ascii="Arial" w:hAnsi="Arial" w:cs="Arial"/>
                      <w:color w:val="000000" w:themeColor="text1"/>
                      <w:sz w:val="24"/>
                      <w:szCs w:val="24"/>
                    </w:rPr>
                  </w:pPr>
                  <w:r w:rsidRPr="007633BF">
                    <w:rPr>
                      <w:rFonts w:ascii="Arial" w:hAnsi="Arial" w:cs="Arial"/>
                      <w:color w:val="000000" w:themeColor="text1"/>
                      <w:sz w:val="24"/>
                      <w:szCs w:val="24"/>
                    </w:rPr>
                    <w:t>Her Excellency, the Governor</w:t>
                  </w:r>
                </w:p>
                <w:p w:rsidR="007633BF" w:rsidRPr="007633BF" w:rsidRDefault="007633BF" w:rsidP="007633BF">
                  <w:pPr>
                    <w:pStyle w:val="ListParagraph"/>
                    <w:tabs>
                      <w:tab w:val="left" w:pos="702"/>
                    </w:tabs>
                    <w:spacing w:after="0" w:line="240" w:lineRule="auto"/>
                    <w:jc w:val="both"/>
                    <w:rPr>
                      <w:rFonts w:ascii="Arial" w:hAnsi="Arial" w:cs="Arial"/>
                      <w:color w:val="000000" w:themeColor="text1"/>
                      <w:sz w:val="24"/>
                      <w:szCs w:val="24"/>
                    </w:rPr>
                  </w:pPr>
                  <w:r w:rsidRPr="007633BF">
                    <w:rPr>
                      <w:rFonts w:ascii="Arial" w:hAnsi="Arial" w:cs="Arial"/>
                      <w:color w:val="000000" w:themeColor="text1"/>
                      <w:sz w:val="24"/>
                      <w:szCs w:val="24"/>
                    </w:rPr>
                    <w:t>The Governor’s Office</w:t>
                  </w:r>
                </w:p>
                <w:p w:rsidR="007633BF" w:rsidRPr="007633BF" w:rsidRDefault="007633BF" w:rsidP="007633BF">
                  <w:pPr>
                    <w:pStyle w:val="ListParagraph"/>
                    <w:tabs>
                      <w:tab w:val="left" w:pos="702"/>
                    </w:tabs>
                    <w:spacing w:after="0" w:line="240" w:lineRule="auto"/>
                    <w:jc w:val="both"/>
                    <w:rPr>
                      <w:rFonts w:ascii="Arial" w:hAnsi="Arial" w:cs="Arial"/>
                      <w:color w:val="000000" w:themeColor="text1"/>
                      <w:sz w:val="24"/>
                      <w:szCs w:val="24"/>
                    </w:rPr>
                  </w:pPr>
                  <w:r w:rsidRPr="007633BF">
                    <w:rPr>
                      <w:rFonts w:ascii="Arial" w:hAnsi="Arial" w:cs="Arial"/>
                      <w:color w:val="000000" w:themeColor="text1"/>
                      <w:sz w:val="24"/>
                      <w:szCs w:val="24"/>
                    </w:rPr>
                    <w:t>#8 Farara Plaza</w:t>
                  </w:r>
                </w:p>
                <w:p w:rsidR="007633BF" w:rsidRPr="007633BF" w:rsidRDefault="007633BF" w:rsidP="007633BF">
                  <w:pPr>
                    <w:pStyle w:val="ListParagraph"/>
                    <w:tabs>
                      <w:tab w:val="left" w:pos="702"/>
                    </w:tabs>
                    <w:spacing w:after="0" w:line="240" w:lineRule="auto"/>
                    <w:jc w:val="both"/>
                    <w:rPr>
                      <w:rFonts w:ascii="Arial" w:hAnsi="Arial" w:cs="Arial"/>
                      <w:color w:val="000000" w:themeColor="text1"/>
                      <w:sz w:val="24"/>
                      <w:szCs w:val="24"/>
                    </w:rPr>
                  </w:pPr>
                  <w:r w:rsidRPr="007633BF">
                    <w:rPr>
                      <w:rFonts w:ascii="Arial" w:hAnsi="Arial" w:cs="Arial"/>
                      <w:color w:val="000000" w:themeColor="text1"/>
                      <w:sz w:val="24"/>
                      <w:szCs w:val="24"/>
                    </w:rPr>
                    <w:t>Brades, MSR1110</w:t>
                  </w:r>
                </w:p>
                <w:p w:rsidR="007633BF" w:rsidRPr="007633BF" w:rsidRDefault="007633BF" w:rsidP="007633BF">
                  <w:pPr>
                    <w:pStyle w:val="ListParagraph"/>
                    <w:tabs>
                      <w:tab w:val="left" w:pos="702"/>
                    </w:tabs>
                    <w:spacing w:after="0" w:line="240" w:lineRule="auto"/>
                    <w:jc w:val="both"/>
                    <w:rPr>
                      <w:rFonts w:ascii="Arial" w:hAnsi="Arial" w:cs="Arial"/>
                      <w:color w:val="000000" w:themeColor="text1"/>
                      <w:sz w:val="24"/>
                      <w:szCs w:val="24"/>
                    </w:rPr>
                  </w:pPr>
                  <w:r w:rsidRPr="007633BF">
                    <w:rPr>
                      <w:rFonts w:ascii="Arial" w:hAnsi="Arial" w:cs="Arial"/>
                      <w:color w:val="000000" w:themeColor="text1"/>
                      <w:sz w:val="24"/>
                      <w:szCs w:val="24"/>
                    </w:rPr>
                    <w:t>Montserrat</w:t>
                  </w:r>
                </w:p>
                <w:p w:rsidR="007633BF" w:rsidRPr="007633BF" w:rsidRDefault="007633BF" w:rsidP="007633BF">
                  <w:pPr>
                    <w:pStyle w:val="ListParagraph"/>
                    <w:tabs>
                      <w:tab w:val="left" w:pos="702"/>
                    </w:tabs>
                    <w:spacing w:after="0" w:line="240" w:lineRule="auto"/>
                    <w:ind w:right="-90"/>
                    <w:jc w:val="both"/>
                    <w:rPr>
                      <w:rFonts w:ascii="Arial" w:hAnsi="Arial" w:cs="Arial"/>
                      <w:sz w:val="24"/>
                      <w:szCs w:val="24"/>
                    </w:rPr>
                  </w:pPr>
                  <w:r w:rsidRPr="007633BF">
                    <w:rPr>
                      <w:rFonts w:ascii="Arial" w:hAnsi="Arial" w:cs="Arial"/>
                      <w:sz w:val="24"/>
                      <w:szCs w:val="24"/>
                    </w:rPr>
                    <w:t xml:space="preserve">Email: </w:t>
                  </w:r>
                  <w:hyperlink r:id="rId15" w:history="1">
                    <w:r w:rsidRPr="007633BF">
                      <w:rPr>
                        <w:rStyle w:val="Hyperlink"/>
                        <w:rFonts w:ascii="Arial" w:hAnsi="Arial" w:cs="Arial"/>
                        <w:sz w:val="24"/>
                        <w:szCs w:val="24"/>
                      </w:rPr>
                      <w:t>Tony.Bates@fco.gsi.gov.uk</w:t>
                    </w:r>
                  </w:hyperlink>
                </w:p>
                <w:p w:rsidR="007633BF" w:rsidRPr="007633BF" w:rsidRDefault="007633BF" w:rsidP="007633BF">
                  <w:pPr>
                    <w:spacing w:after="0" w:line="240" w:lineRule="auto"/>
                    <w:ind w:right="-90"/>
                    <w:jc w:val="both"/>
                    <w:rPr>
                      <w:rFonts w:ascii="Arial" w:hAnsi="Arial" w:cs="Arial"/>
                      <w:sz w:val="24"/>
                      <w:szCs w:val="24"/>
                    </w:rPr>
                  </w:pPr>
                </w:p>
                <w:p w:rsidR="007633BF" w:rsidRPr="007633BF" w:rsidRDefault="007633BF" w:rsidP="007633BF">
                  <w:pPr>
                    <w:spacing w:after="0" w:line="240" w:lineRule="auto"/>
                    <w:ind w:right="-90"/>
                    <w:jc w:val="both"/>
                    <w:rPr>
                      <w:rFonts w:ascii="Arial" w:hAnsi="Arial" w:cs="Arial"/>
                      <w:sz w:val="24"/>
                      <w:szCs w:val="24"/>
                    </w:rPr>
                  </w:pPr>
                </w:p>
                <w:p w:rsidR="004D2513" w:rsidRPr="007633BF" w:rsidRDefault="004D2513" w:rsidP="007633BF">
                  <w:pPr>
                    <w:pStyle w:val="ListParagraph"/>
                    <w:spacing w:after="0" w:line="240" w:lineRule="auto"/>
                    <w:ind w:right="-90"/>
                    <w:jc w:val="both"/>
                    <w:rPr>
                      <w:rFonts w:ascii="Arial" w:hAnsi="Arial" w:cs="Arial"/>
                      <w:sz w:val="24"/>
                      <w:szCs w:val="24"/>
                    </w:rPr>
                  </w:pPr>
                </w:p>
                <w:p w:rsidR="00814050" w:rsidRPr="007633BF" w:rsidRDefault="00814050" w:rsidP="007633BF">
                  <w:pPr>
                    <w:spacing w:after="0" w:line="240" w:lineRule="auto"/>
                    <w:ind w:left="-108" w:right="-90"/>
                    <w:jc w:val="both"/>
                    <w:rPr>
                      <w:rFonts w:ascii="Arial" w:hAnsi="Arial" w:cs="Arial"/>
                      <w:b/>
                      <w:sz w:val="24"/>
                      <w:szCs w:val="24"/>
                    </w:rPr>
                  </w:pPr>
                  <w:r w:rsidRPr="007633BF">
                    <w:rPr>
                      <w:rFonts w:ascii="Arial" w:hAnsi="Arial" w:cs="Arial"/>
                      <w:b/>
                      <w:sz w:val="24"/>
                      <w:szCs w:val="24"/>
                    </w:rPr>
                    <w:t>Financial Services Commission</w:t>
                  </w:r>
                </w:p>
                <w:p w:rsidR="00814050" w:rsidRPr="007633BF" w:rsidRDefault="00AA7A5D" w:rsidP="007633BF">
                  <w:pPr>
                    <w:spacing w:after="0" w:line="240" w:lineRule="auto"/>
                    <w:ind w:left="-108" w:right="-90"/>
                    <w:jc w:val="both"/>
                    <w:rPr>
                      <w:rFonts w:ascii="Arial" w:hAnsi="Arial" w:cs="Arial"/>
                      <w:b/>
                      <w:sz w:val="24"/>
                      <w:szCs w:val="24"/>
                    </w:rPr>
                  </w:pPr>
                  <w:r>
                    <w:rPr>
                      <w:rFonts w:ascii="Arial" w:hAnsi="Arial" w:cs="Arial"/>
                      <w:b/>
                      <w:sz w:val="24"/>
                      <w:szCs w:val="24"/>
                    </w:rPr>
                    <w:t>03</w:t>
                  </w:r>
                  <w:r w:rsidR="00750ACB">
                    <w:rPr>
                      <w:rFonts w:ascii="Arial" w:hAnsi="Arial" w:cs="Arial"/>
                      <w:b/>
                      <w:sz w:val="24"/>
                      <w:szCs w:val="24"/>
                    </w:rPr>
                    <w:t>/03</w:t>
                  </w:r>
                  <w:r w:rsidR="004D2513" w:rsidRPr="007633BF">
                    <w:rPr>
                      <w:rFonts w:ascii="Arial" w:hAnsi="Arial" w:cs="Arial"/>
                      <w:b/>
                      <w:sz w:val="24"/>
                      <w:szCs w:val="24"/>
                    </w:rPr>
                    <w:t>/2016</w:t>
                  </w:r>
                </w:p>
                <w:p w:rsidR="005F0039" w:rsidRPr="007633BF" w:rsidRDefault="005F0039"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Default="008F1207"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0212E0" w:rsidRDefault="000212E0" w:rsidP="007633BF">
                  <w:pPr>
                    <w:spacing w:after="0" w:line="240" w:lineRule="auto"/>
                    <w:ind w:left="-108" w:right="-90"/>
                    <w:jc w:val="both"/>
                    <w:rPr>
                      <w:rFonts w:ascii="Arial" w:hAnsi="Arial" w:cs="Arial"/>
                      <w:b/>
                      <w:sz w:val="24"/>
                      <w:szCs w:val="24"/>
                    </w:rPr>
                  </w:pPr>
                </w:p>
                <w:p w:rsidR="000212E0" w:rsidRDefault="000212E0" w:rsidP="007633BF">
                  <w:pPr>
                    <w:spacing w:after="0" w:line="240" w:lineRule="auto"/>
                    <w:ind w:left="-108" w:right="-90"/>
                    <w:jc w:val="both"/>
                    <w:rPr>
                      <w:rFonts w:ascii="Arial" w:hAnsi="Arial" w:cs="Arial"/>
                      <w:b/>
                      <w:sz w:val="24"/>
                      <w:szCs w:val="24"/>
                    </w:rPr>
                  </w:pPr>
                </w:p>
                <w:p w:rsidR="000212E0" w:rsidRDefault="000212E0" w:rsidP="007633BF">
                  <w:pPr>
                    <w:spacing w:after="0" w:line="240" w:lineRule="auto"/>
                    <w:ind w:left="-108" w:right="-90"/>
                    <w:jc w:val="both"/>
                    <w:rPr>
                      <w:rFonts w:ascii="Arial" w:hAnsi="Arial" w:cs="Arial"/>
                      <w:b/>
                      <w:sz w:val="24"/>
                      <w:szCs w:val="24"/>
                    </w:rPr>
                  </w:pPr>
                </w:p>
                <w:p w:rsidR="000212E0" w:rsidRDefault="000212E0" w:rsidP="007633BF">
                  <w:pPr>
                    <w:spacing w:after="0" w:line="240" w:lineRule="auto"/>
                    <w:ind w:left="-108" w:right="-90"/>
                    <w:jc w:val="both"/>
                    <w:rPr>
                      <w:rFonts w:ascii="Arial" w:hAnsi="Arial" w:cs="Arial"/>
                      <w:b/>
                      <w:sz w:val="24"/>
                      <w:szCs w:val="24"/>
                    </w:rPr>
                  </w:pPr>
                </w:p>
                <w:p w:rsidR="000212E0" w:rsidRDefault="000212E0" w:rsidP="007633BF">
                  <w:pPr>
                    <w:spacing w:after="0" w:line="240" w:lineRule="auto"/>
                    <w:ind w:left="-108" w:right="-90"/>
                    <w:jc w:val="both"/>
                    <w:rPr>
                      <w:rFonts w:ascii="Arial" w:hAnsi="Arial" w:cs="Arial"/>
                      <w:b/>
                      <w:sz w:val="24"/>
                      <w:szCs w:val="24"/>
                    </w:rPr>
                  </w:pPr>
                </w:p>
                <w:p w:rsidR="000212E0" w:rsidRDefault="000212E0" w:rsidP="007633BF">
                  <w:pPr>
                    <w:spacing w:after="0" w:line="240" w:lineRule="auto"/>
                    <w:ind w:left="-108" w:right="-90"/>
                    <w:jc w:val="both"/>
                    <w:rPr>
                      <w:rFonts w:ascii="Arial" w:hAnsi="Arial" w:cs="Arial"/>
                      <w:b/>
                      <w:sz w:val="24"/>
                      <w:szCs w:val="24"/>
                    </w:rPr>
                  </w:pPr>
                </w:p>
                <w:p w:rsidR="000212E0" w:rsidRDefault="000212E0" w:rsidP="007633BF">
                  <w:pPr>
                    <w:spacing w:after="0" w:line="240" w:lineRule="auto"/>
                    <w:ind w:left="-108" w:right="-90"/>
                    <w:jc w:val="both"/>
                    <w:rPr>
                      <w:rFonts w:ascii="Arial" w:hAnsi="Arial" w:cs="Arial"/>
                      <w:b/>
                      <w:sz w:val="24"/>
                      <w:szCs w:val="24"/>
                    </w:rPr>
                  </w:pPr>
                </w:p>
                <w:p w:rsidR="000212E0" w:rsidRDefault="000212E0" w:rsidP="007633BF">
                  <w:pPr>
                    <w:spacing w:after="0" w:line="240" w:lineRule="auto"/>
                    <w:ind w:left="-108" w:right="-90"/>
                    <w:jc w:val="both"/>
                    <w:rPr>
                      <w:rFonts w:ascii="Arial" w:hAnsi="Arial" w:cs="Arial"/>
                      <w:b/>
                      <w:sz w:val="24"/>
                      <w:szCs w:val="24"/>
                    </w:rPr>
                  </w:pPr>
                </w:p>
                <w:p w:rsidR="000212E0" w:rsidRDefault="000212E0" w:rsidP="007633BF">
                  <w:pPr>
                    <w:spacing w:after="0" w:line="240" w:lineRule="auto"/>
                    <w:ind w:left="-108" w:right="-90"/>
                    <w:jc w:val="both"/>
                    <w:rPr>
                      <w:rFonts w:ascii="Arial" w:hAnsi="Arial" w:cs="Arial"/>
                      <w:b/>
                      <w:sz w:val="24"/>
                      <w:szCs w:val="24"/>
                    </w:rPr>
                  </w:pPr>
                </w:p>
                <w:p w:rsidR="000212E0" w:rsidRDefault="000212E0" w:rsidP="007633BF">
                  <w:pPr>
                    <w:spacing w:after="0" w:line="240" w:lineRule="auto"/>
                    <w:ind w:left="-108" w:right="-90"/>
                    <w:jc w:val="both"/>
                    <w:rPr>
                      <w:rFonts w:ascii="Arial" w:hAnsi="Arial" w:cs="Arial"/>
                      <w:b/>
                      <w:sz w:val="24"/>
                      <w:szCs w:val="24"/>
                    </w:rPr>
                  </w:pPr>
                </w:p>
                <w:p w:rsidR="000212E0" w:rsidRDefault="000212E0" w:rsidP="007633BF">
                  <w:pPr>
                    <w:spacing w:after="0" w:line="240" w:lineRule="auto"/>
                    <w:ind w:left="-108" w:right="-90"/>
                    <w:jc w:val="both"/>
                    <w:rPr>
                      <w:rFonts w:ascii="Arial" w:hAnsi="Arial" w:cs="Arial"/>
                      <w:b/>
                      <w:sz w:val="24"/>
                      <w:szCs w:val="24"/>
                    </w:rPr>
                  </w:pPr>
                </w:p>
                <w:p w:rsidR="000212E0" w:rsidRDefault="000212E0" w:rsidP="007633BF">
                  <w:pPr>
                    <w:spacing w:after="0" w:line="240" w:lineRule="auto"/>
                    <w:ind w:left="-108" w:right="-90"/>
                    <w:jc w:val="both"/>
                    <w:rPr>
                      <w:rFonts w:ascii="Arial" w:hAnsi="Arial" w:cs="Arial"/>
                      <w:b/>
                      <w:sz w:val="24"/>
                      <w:szCs w:val="24"/>
                    </w:rPr>
                  </w:pPr>
                </w:p>
                <w:p w:rsidR="000212E0" w:rsidRDefault="000212E0" w:rsidP="007633BF">
                  <w:pPr>
                    <w:spacing w:after="0" w:line="240" w:lineRule="auto"/>
                    <w:ind w:left="-108" w:right="-90"/>
                    <w:jc w:val="both"/>
                    <w:rPr>
                      <w:rFonts w:ascii="Arial" w:hAnsi="Arial" w:cs="Arial"/>
                      <w:b/>
                      <w:sz w:val="24"/>
                      <w:szCs w:val="24"/>
                    </w:rPr>
                  </w:pPr>
                </w:p>
                <w:p w:rsidR="000212E0" w:rsidRDefault="000212E0" w:rsidP="007633BF">
                  <w:pPr>
                    <w:spacing w:after="0" w:line="240" w:lineRule="auto"/>
                    <w:ind w:left="-108" w:right="-90"/>
                    <w:jc w:val="both"/>
                    <w:rPr>
                      <w:rFonts w:ascii="Arial" w:hAnsi="Arial" w:cs="Arial"/>
                      <w:b/>
                      <w:sz w:val="24"/>
                      <w:szCs w:val="24"/>
                    </w:rPr>
                  </w:pPr>
                </w:p>
                <w:p w:rsidR="000212E0" w:rsidRDefault="000212E0" w:rsidP="007633BF">
                  <w:pPr>
                    <w:spacing w:after="0" w:line="240" w:lineRule="auto"/>
                    <w:ind w:left="-108" w:right="-90"/>
                    <w:jc w:val="both"/>
                    <w:rPr>
                      <w:rFonts w:ascii="Arial" w:hAnsi="Arial" w:cs="Arial"/>
                      <w:b/>
                      <w:sz w:val="24"/>
                      <w:szCs w:val="24"/>
                    </w:rPr>
                  </w:pPr>
                </w:p>
                <w:p w:rsidR="000212E0" w:rsidRDefault="000212E0" w:rsidP="007633BF">
                  <w:pPr>
                    <w:spacing w:after="0" w:line="240" w:lineRule="auto"/>
                    <w:ind w:left="-108" w:right="-90"/>
                    <w:jc w:val="both"/>
                    <w:rPr>
                      <w:rFonts w:ascii="Arial" w:hAnsi="Arial" w:cs="Arial"/>
                      <w:b/>
                      <w:sz w:val="24"/>
                      <w:szCs w:val="24"/>
                    </w:rPr>
                  </w:pPr>
                </w:p>
                <w:p w:rsidR="000212E0" w:rsidRDefault="000212E0" w:rsidP="000212E0">
                  <w:pPr>
                    <w:spacing w:after="0" w:line="240" w:lineRule="auto"/>
                    <w:ind w:right="-90"/>
                    <w:jc w:val="both"/>
                    <w:rPr>
                      <w:rFonts w:ascii="Arial" w:hAnsi="Arial" w:cs="Arial"/>
                      <w:b/>
                      <w:sz w:val="24"/>
                      <w:szCs w:val="24"/>
                    </w:rPr>
                  </w:pPr>
                </w:p>
                <w:p w:rsidR="0060574A" w:rsidRPr="00C415C8" w:rsidRDefault="0060574A" w:rsidP="00C415C8">
                  <w:pPr>
                    <w:pStyle w:val="Default"/>
                    <w:jc w:val="center"/>
                    <w:rPr>
                      <w:b/>
                      <w:u w:val="single"/>
                    </w:rPr>
                  </w:pPr>
                </w:p>
                <w:p w:rsidR="00C415C8" w:rsidRDefault="00C415C8" w:rsidP="00C415C8">
                  <w:pPr>
                    <w:pStyle w:val="Default"/>
                    <w:jc w:val="center"/>
                    <w:rPr>
                      <w:b/>
                      <w:u w:val="single"/>
                    </w:rPr>
                  </w:pPr>
                  <w:r w:rsidRPr="00C415C8">
                    <w:rPr>
                      <w:b/>
                      <w:u w:val="single"/>
                    </w:rPr>
                    <w:t>ANNEX TO NOTICE</w:t>
                  </w:r>
                </w:p>
                <w:p w:rsidR="00C415C8" w:rsidRPr="00C415C8" w:rsidRDefault="00C415C8" w:rsidP="00C415C8">
                  <w:pPr>
                    <w:pStyle w:val="Default"/>
                    <w:jc w:val="center"/>
                    <w:rPr>
                      <w:b/>
                      <w:u w:val="single"/>
                    </w:rPr>
                  </w:pPr>
                </w:p>
                <w:p w:rsidR="00C415C8" w:rsidRPr="00C415C8" w:rsidRDefault="00C415C8" w:rsidP="00C415C8">
                  <w:pPr>
                    <w:pStyle w:val="Default"/>
                    <w:jc w:val="center"/>
                    <w:rPr>
                      <w:b/>
                    </w:rPr>
                  </w:pPr>
                </w:p>
                <w:p w:rsidR="00C415C8" w:rsidRPr="00C415C8" w:rsidRDefault="00C415C8" w:rsidP="00C415C8">
                  <w:pPr>
                    <w:pStyle w:val="Default"/>
                    <w:jc w:val="center"/>
                    <w:rPr>
                      <w:b/>
                    </w:rPr>
                  </w:pPr>
                  <w:r w:rsidRPr="00C415C8">
                    <w:rPr>
                      <w:b/>
                    </w:rPr>
                    <w:t>FINANCIAL SANCTIONS: LIBYA</w:t>
                  </w:r>
                </w:p>
                <w:p w:rsidR="00C415C8" w:rsidRPr="00C415C8" w:rsidRDefault="00C415C8" w:rsidP="00C415C8">
                  <w:pPr>
                    <w:pStyle w:val="Default"/>
                    <w:jc w:val="center"/>
                    <w:rPr>
                      <w:b/>
                    </w:rPr>
                  </w:pPr>
                </w:p>
                <w:p w:rsidR="00C415C8" w:rsidRPr="00C415C8" w:rsidRDefault="00C415C8" w:rsidP="00C415C8">
                  <w:pPr>
                    <w:pStyle w:val="Default"/>
                    <w:jc w:val="center"/>
                    <w:rPr>
                      <w:b/>
                    </w:rPr>
                  </w:pPr>
                  <w:r w:rsidRPr="00C415C8">
                    <w:rPr>
                      <w:b/>
                    </w:rPr>
                    <w:t>REVOCATION OF GENERAL LICENCE</w:t>
                  </w:r>
                </w:p>
                <w:p w:rsidR="00C415C8" w:rsidRPr="00C415C8" w:rsidRDefault="00C415C8" w:rsidP="00C415C8">
                  <w:pPr>
                    <w:pStyle w:val="Default"/>
                    <w:jc w:val="center"/>
                    <w:rPr>
                      <w:b/>
                    </w:rPr>
                  </w:pPr>
                </w:p>
                <w:p w:rsidR="00C415C8" w:rsidRPr="00C415C8" w:rsidRDefault="00C415C8" w:rsidP="00C415C8">
                  <w:pPr>
                    <w:pStyle w:val="Default"/>
                    <w:jc w:val="center"/>
                    <w:rPr>
                      <w:b/>
                    </w:rPr>
                  </w:pPr>
                  <w:r w:rsidRPr="00C415C8">
                    <w:rPr>
                      <w:b/>
                    </w:rPr>
                    <w:t>THE LIBYA (FINANCIAL SANCTIONS) ORDER 2011</w:t>
                  </w:r>
                </w:p>
                <w:p w:rsidR="00C415C8" w:rsidRDefault="00C415C8" w:rsidP="00C415C8">
                  <w:pPr>
                    <w:pStyle w:val="Default"/>
                    <w:jc w:val="center"/>
                    <w:rPr>
                      <w:b/>
                    </w:rPr>
                  </w:pPr>
                  <w:r w:rsidRPr="00C415C8">
                    <w:rPr>
                      <w:b/>
                    </w:rPr>
                    <w:t>GENERAL LICENCE 1</w:t>
                  </w:r>
                </w:p>
                <w:p w:rsidR="00C415C8" w:rsidRDefault="00C415C8" w:rsidP="00C415C8">
                  <w:pPr>
                    <w:pStyle w:val="Default"/>
                    <w:jc w:val="center"/>
                    <w:rPr>
                      <w:b/>
                    </w:rPr>
                  </w:pPr>
                </w:p>
                <w:p w:rsidR="00C415C8" w:rsidRPr="00C415C8" w:rsidRDefault="00C415C8" w:rsidP="00C415C8">
                  <w:pPr>
                    <w:pStyle w:val="Default"/>
                    <w:jc w:val="center"/>
                    <w:rPr>
                      <w:b/>
                    </w:rPr>
                  </w:pPr>
                  <w:r w:rsidRPr="00C415C8">
                    <w:rPr>
                      <w:b/>
                    </w:rPr>
                    <w:t>(Financial institutions incorporated outside Libya)</w:t>
                  </w:r>
                </w:p>
                <w:p w:rsidR="00C415C8" w:rsidRDefault="00C415C8" w:rsidP="00C415C8">
                  <w:pPr>
                    <w:pStyle w:val="Default"/>
                    <w:jc w:val="both"/>
                  </w:pPr>
                </w:p>
                <w:p w:rsidR="00C415C8" w:rsidRDefault="00C415C8" w:rsidP="00C415C8">
                  <w:pPr>
                    <w:pStyle w:val="Default"/>
                    <w:jc w:val="both"/>
                  </w:pPr>
                </w:p>
                <w:p w:rsidR="00C415C8" w:rsidRDefault="00C415C8" w:rsidP="009F1599">
                  <w:pPr>
                    <w:pStyle w:val="Default"/>
                    <w:numPr>
                      <w:ilvl w:val="0"/>
                      <w:numId w:val="17"/>
                    </w:numPr>
                    <w:jc w:val="both"/>
                  </w:pPr>
                  <w:r>
                    <w:t xml:space="preserve">This </w:t>
                  </w:r>
                  <w:proofErr w:type="spellStart"/>
                  <w:r>
                    <w:t>licence</w:t>
                  </w:r>
                  <w:proofErr w:type="spellEnd"/>
                  <w:r>
                    <w:t xml:space="preserve"> is granted under article 9 of the Libya (Financial Sanctions) Order 2011 (“the Order”) and, to the extent that it applies, Council Regulation (EU) No 204/2011 (“the Regulation”). </w:t>
                  </w:r>
                </w:p>
                <w:p w:rsidR="00C415C8" w:rsidRDefault="00C415C8" w:rsidP="00C415C8">
                  <w:pPr>
                    <w:pStyle w:val="Default"/>
                    <w:jc w:val="both"/>
                  </w:pPr>
                </w:p>
                <w:p w:rsidR="00C415C8" w:rsidRDefault="00C415C8" w:rsidP="009F1599">
                  <w:pPr>
                    <w:pStyle w:val="Default"/>
                    <w:numPr>
                      <w:ilvl w:val="0"/>
                      <w:numId w:val="17"/>
                    </w:numPr>
                    <w:jc w:val="both"/>
                  </w:pPr>
                  <w:r>
                    <w:t xml:space="preserve">Terms used in this </w:t>
                  </w:r>
                  <w:proofErr w:type="spellStart"/>
                  <w:r>
                    <w:t>licence</w:t>
                  </w:r>
                  <w:proofErr w:type="spellEnd"/>
                  <w:r>
                    <w:t xml:space="preserve"> which are also used in the Order have the same meaning as in the Order. </w:t>
                  </w:r>
                </w:p>
                <w:p w:rsidR="00C415C8" w:rsidRDefault="00C415C8" w:rsidP="00C415C8">
                  <w:pPr>
                    <w:pStyle w:val="Default"/>
                    <w:jc w:val="both"/>
                  </w:pPr>
                </w:p>
                <w:p w:rsidR="00C415C8" w:rsidRDefault="00C415C8" w:rsidP="009F1599">
                  <w:pPr>
                    <w:pStyle w:val="Default"/>
                    <w:numPr>
                      <w:ilvl w:val="0"/>
                      <w:numId w:val="17"/>
                    </w:numPr>
                    <w:jc w:val="both"/>
                  </w:pPr>
                  <w:r>
                    <w:t xml:space="preserve">A “non-Libyan financial institution” means an entity which is </w:t>
                  </w:r>
                </w:p>
                <w:p w:rsidR="009F1599" w:rsidRDefault="009F1599" w:rsidP="009F1599">
                  <w:pPr>
                    <w:pStyle w:val="Default"/>
                    <w:jc w:val="both"/>
                  </w:pPr>
                </w:p>
                <w:p w:rsidR="00C415C8" w:rsidRDefault="00C415C8" w:rsidP="009F1599">
                  <w:pPr>
                    <w:pStyle w:val="Default"/>
                    <w:numPr>
                      <w:ilvl w:val="0"/>
                      <w:numId w:val="18"/>
                    </w:numPr>
                    <w:ind w:left="1332"/>
                    <w:jc w:val="both"/>
                  </w:pPr>
                  <w:proofErr w:type="spellStart"/>
                  <w:r>
                    <w:t>authorised</w:t>
                  </w:r>
                  <w:proofErr w:type="spellEnd"/>
                  <w:r>
                    <w:t xml:space="preserve"> under the law of the place in which it is incorporated or constituted to carry out regulated activities, as defined in s.22 of the Financial Services and Markets Act 2000, and </w:t>
                  </w:r>
                </w:p>
                <w:p w:rsidR="009F1599" w:rsidRDefault="009F1599" w:rsidP="009F1599">
                  <w:pPr>
                    <w:pStyle w:val="Default"/>
                    <w:ind w:left="1332" w:hanging="360"/>
                    <w:jc w:val="both"/>
                  </w:pPr>
                </w:p>
                <w:p w:rsidR="00C415C8" w:rsidRDefault="00C415C8" w:rsidP="009F1599">
                  <w:pPr>
                    <w:pStyle w:val="Default"/>
                    <w:numPr>
                      <w:ilvl w:val="0"/>
                      <w:numId w:val="18"/>
                    </w:numPr>
                    <w:ind w:left="1332"/>
                    <w:jc w:val="both"/>
                  </w:pPr>
                  <w:proofErr w:type="gramStart"/>
                  <w:r>
                    <w:t>is</w:t>
                  </w:r>
                  <w:proofErr w:type="gramEnd"/>
                  <w:r>
                    <w:t xml:space="preserve"> incorporated or constituted under the law of a country other than Libya.</w:t>
                  </w:r>
                </w:p>
                <w:p w:rsidR="00C415C8" w:rsidRDefault="00C415C8" w:rsidP="00C415C8">
                  <w:pPr>
                    <w:pStyle w:val="Default"/>
                    <w:jc w:val="both"/>
                  </w:pPr>
                </w:p>
                <w:p w:rsidR="00C415C8" w:rsidRDefault="00C415C8" w:rsidP="009F1599">
                  <w:pPr>
                    <w:pStyle w:val="Default"/>
                    <w:numPr>
                      <w:ilvl w:val="0"/>
                      <w:numId w:val="17"/>
                    </w:numPr>
                    <w:jc w:val="both"/>
                  </w:pPr>
                  <w:r>
                    <w:t xml:space="preserve">Subject to paragraph 5, a person (“P”) is </w:t>
                  </w:r>
                  <w:proofErr w:type="spellStart"/>
                  <w:r>
                    <w:t>authorised</w:t>
                  </w:r>
                  <w:proofErr w:type="spellEnd"/>
                  <w:r>
                    <w:t xml:space="preserve"> to undertake any acts in the course of business with a non-Libyan financial institution where that financial institution is a body such as is referred to in article 3(1)(b) or (c) of the Order. </w:t>
                  </w:r>
                </w:p>
                <w:p w:rsidR="00C415C8" w:rsidRDefault="00C415C8" w:rsidP="00C415C8">
                  <w:pPr>
                    <w:pStyle w:val="Default"/>
                    <w:jc w:val="both"/>
                  </w:pPr>
                </w:p>
                <w:p w:rsidR="009F1599" w:rsidRDefault="00C415C8" w:rsidP="009F1599">
                  <w:pPr>
                    <w:pStyle w:val="Default"/>
                    <w:numPr>
                      <w:ilvl w:val="0"/>
                      <w:numId w:val="17"/>
                    </w:numPr>
                    <w:jc w:val="both"/>
                  </w:pPr>
                  <w:r>
                    <w:t xml:space="preserve">Paragraph 4 does not </w:t>
                  </w:r>
                  <w:proofErr w:type="spellStart"/>
                  <w:r>
                    <w:t>authorise</w:t>
                  </w:r>
                  <w:proofErr w:type="spellEnd"/>
                  <w:r>
                    <w:t xml:space="preserve"> any act which P knows, or has reasonable grounds for suspecting, will result in funds, other financial assets or economic resources being made available while the Order or the Regulation remains in force to- </w:t>
                  </w:r>
                </w:p>
                <w:p w:rsidR="009F1599" w:rsidRDefault="009F1599" w:rsidP="009F1599">
                  <w:pPr>
                    <w:pStyle w:val="Default"/>
                    <w:jc w:val="both"/>
                  </w:pPr>
                </w:p>
                <w:p w:rsidR="009F1599" w:rsidRDefault="00C415C8" w:rsidP="009F1599">
                  <w:pPr>
                    <w:pStyle w:val="Default"/>
                    <w:numPr>
                      <w:ilvl w:val="0"/>
                      <w:numId w:val="19"/>
                    </w:numPr>
                    <w:ind w:left="1332"/>
                    <w:jc w:val="both"/>
                  </w:pPr>
                  <w:r>
                    <w:t xml:space="preserve">a person, entity or body such as is referred to in article 3(1) of the Order, or </w:t>
                  </w:r>
                </w:p>
                <w:p w:rsidR="009F1599" w:rsidRDefault="009F1599" w:rsidP="009F1599">
                  <w:pPr>
                    <w:pStyle w:val="Default"/>
                    <w:ind w:left="1332" w:hanging="360"/>
                    <w:jc w:val="both"/>
                  </w:pPr>
                </w:p>
                <w:p w:rsidR="00C415C8" w:rsidRDefault="00C415C8" w:rsidP="009F1599">
                  <w:pPr>
                    <w:pStyle w:val="Default"/>
                    <w:ind w:left="1332" w:hanging="360"/>
                    <w:jc w:val="both"/>
                  </w:pPr>
                  <w:proofErr w:type="gramStart"/>
                  <w:r>
                    <w:t xml:space="preserve">b. </w:t>
                  </w:r>
                  <w:r w:rsidR="009F1599" w:rsidRPr="009F1599">
                    <w:rPr>
                      <w:sz w:val="10"/>
                      <w:szCs w:val="10"/>
                    </w:rPr>
                    <w:t xml:space="preserve"> </w:t>
                  </w:r>
                  <w:r>
                    <w:t>a</w:t>
                  </w:r>
                  <w:proofErr w:type="gramEnd"/>
                  <w:r>
                    <w:t xml:space="preserve"> person, entity or body listed in Annex II or III of the Regulation, other than a non-Libyan financial institution. </w:t>
                  </w:r>
                </w:p>
                <w:p w:rsidR="00C415C8" w:rsidRDefault="00C415C8" w:rsidP="00C415C8">
                  <w:pPr>
                    <w:pStyle w:val="Default"/>
                    <w:jc w:val="both"/>
                  </w:pPr>
                </w:p>
                <w:p w:rsidR="009F1599" w:rsidRDefault="00C415C8" w:rsidP="009F1599">
                  <w:pPr>
                    <w:pStyle w:val="Default"/>
                    <w:numPr>
                      <w:ilvl w:val="0"/>
                      <w:numId w:val="17"/>
                    </w:numPr>
                    <w:jc w:val="both"/>
                  </w:pPr>
                  <w:r>
                    <w:t xml:space="preserve">This </w:t>
                  </w:r>
                  <w:proofErr w:type="spellStart"/>
                  <w:r>
                    <w:t>licence</w:t>
                  </w:r>
                  <w:proofErr w:type="spellEnd"/>
                  <w:r>
                    <w:t xml:space="preserve"> is of indefinite duration. It may be varied or revoked by the Governor at any time. </w:t>
                  </w:r>
                </w:p>
                <w:p w:rsidR="009F1599" w:rsidRDefault="009F1599" w:rsidP="009F1599">
                  <w:pPr>
                    <w:pStyle w:val="Default"/>
                    <w:jc w:val="both"/>
                  </w:pPr>
                </w:p>
                <w:p w:rsidR="009F1599" w:rsidRDefault="009F1599" w:rsidP="009F1599">
                  <w:pPr>
                    <w:pStyle w:val="Default"/>
                    <w:jc w:val="both"/>
                  </w:pPr>
                </w:p>
                <w:p w:rsidR="009F1599" w:rsidRDefault="00C415C8" w:rsidP="009F1599">
                  <w:pPr>
                    <w:pStyle w:val="Default"/>
                    <w:jc w:val="both"/>
                    <w:rPr>
                      <w:b/>
                    </w:rPr>
                  </w:pPr>
                  <w:r w:rsidRPr="009F1599">
                    <w:rPr>
                      <w:b/>
                    </w:rPr>
                    <w:t xml:space="preserve">Signed </w:t>
                  </w:r>
                </w:p>
                <w:p w:rsidR="009F1599" w:rsidRPr="009F1599" w:rsidRDefault="009F1599" w:rsidP="009F1599">
                  <w:pPr>
                    <w:pStyle w:val="Default"/>
                    <w:jc w:val="both"/>
                    <w:rPr>
                      <w:b/>
                    </w:rPr>
                  </w:pPr>
                </w:p>
                <w:p w:rsidR="009F1599" w:rsidRPr="009F1599" w:rsidRDefault="009F1599" w:rsidP="009F1599">
                  <w:pPr>
                    <w:pStyle w:val="Default"/>
                    <w:jc w:val="both"/>
                    <w:rPr>
                      <w:b/>
                    </w:rPr>
                  </w:pPr>
                </w:p>
                <w:p w:rsidR="009F1599" w:rsidRPr="009F1599" w:rsidRDefault="00C415C8" w:rsidP="009F1599">
                  <w:pPr>
                    <w:pStyle w:val="Default"/>
                    <w:jc w:val="both"/>
                    <w:rPr>
                      <w:b/>
                    </w:rPr>
                  </w:pPr>
                  <w:r w:rsidRPr="009F1599">
                    <w:rPr>
                      <w:b/>
                    </w:rPr>
                    <w:t xml:space="preserve">Financial Sanctions </w:t>
                  </w:r>
                </w:p>
                <w:p w:rsidR="009F1599" w:rsidRPr="009F1599" w:rsidRDefault="009F1599" w:rsidP="009F1599">
                  <w:pPr>
                    <w:pStyle w:val="Default"/>
                    <w:jc w:val="both"/>
                    <w:rPr>
                      <w:b/>
                    </w:rPr>
                  </w:pPr>
                </w:p>
                <w:p w:rsidR="009F1599" w:rsidRPr="009F1599" w:rsidRDefault="00C415C8" w:rsidP="009F1599">
                  <w:pPr>
                    <w:pStyle w:val="Default"/>
                    <w:jc w:val="both"/>
                    <w:rPr>
                      <w:b/>
                    </w:rPr>
                  </w:pPr>
                  <w:r w:rsidRPr="009F1599">
                    <w:rPr>
                      <w:b/>
                    </w:rPr>
                    <w:t>3 March 2011</w:t>
                  </w:r>
                </w:p>
                <w:p w:rsidR="009F1599" w:rsidRPr="009F1599" w:rsidRDefault="00C415C8" w:rsidP="009F1599">
                  <w:pPr>
                    <w:pStyle w:val="Default"/>
                    <w:jc w:val="both"/>
                    <w:rPr>
                      <w:b/>
                    </w:rPr>
                  </w:pPr>
                  <w:r w:rsidRPr="009F1599">
                    <w:rPr>
                      <w:b/>
                    </w:rPr>
                    <w:t xml:space="preserve">Amended 25 July 2013 </w:t>
                  </w:r>
                </w:p>
                <w:p w:rsidR="00C415C8" w:rsidRPr="009F1599" w:rsidRDefault="00C415C8" w:rsidP="009F1599">
                  <w:pPr>
                    <w:pStyle w:val="Default"/>
                    <w:jc w:val="both"/>
                    <w:rPr>
                      <w:b/>
                      <w:i/>
                      <w:u w:val="single"/>
                    </w:rPr>
                  </w:pPr>
                  <w:r w:rsidRPr="009F1599">
                    <w:rPr>
                      <w:b/>
                      <w:i/>
                      <w:u w:val="single"/>
                    </w:rPr>
                    <w:t xml:space="preserve">Revoked 3 March 2016 </w:t>
                  </w:r>
                </w:p>
                <w:p w:rsidR="003135AF" w:rsidRPr="007633BF" w:rsidRDefault="003135AF" w:rsidP="007633BF">
                  <w:pPr>
                    <w:spacing w:after="0" w:line="240" w:lineRule="auto"/>
                    <w:ind w:left="-108" w:right="-90"/>
                    <w:jc w:val="both"/>
                    <w:rPr>
                      <w:rFonts w:ascii="Arial" w:hAnsi="Arial" w:cs="Arial"/>
                      <w:b/>
                      <w:sz w:val="24"/>
                      <w:szCs w:val="24"/>
                    </w:rPr>
                  </w:pPr>
                </w:p>
                <w:p w:rsidR="003135AF" w:rsidRDefault="003135AF" w:rsidP="007633BF">
                  <w:pPr>
                    <w:spacing w:after="0" w:line="240" w:lineRule="auto"/>
                    <w:ind w:left="-108" w:right="-90"/>
                    <w:jc w:val="both"/>
                    <w:rPr>
                      <w:rFonts w:ascii="Arial" w:hAnsi="Arial" w:cs="Arial"/>
                      <w:b/>
                      <w:sz w:val="24"/>
                      <w:szCs w:val="24"/>
                    </w:rPr>
                  </w:pPr>
                </w:p>
                <w:p w:rsidR="009F1599" w:rsidRPr="007633BF" w:rsidRDefault="009F1599" w:rsidP="007633BF">
                  <w:pPr>
                    <w:spacing w:after="0" w:line="240" w:lineRule="auto"/>
                    <w:ind w:left="-108" w:right="-90"/>
                    <w:jc w:val="both"/>
                    <w:rPr>
                      <w:rFonts w:ascii="Arial" w:hAnsi="Arial" w:cs="Arial"/>
                      <w:b/>
                      <w:sz w:val="24"/>
                      <w:szCs w:val="24"/>
                    </w:rPr>
                  </w:pPr>
                </w:p>
                <w:p w:rsidR="00814050" w:rsidRPr="007633BF" w:rsidRDefault="00814050" w:rsidP="007633BF">
                  <w:pPr>
                    <w:spacing w:after="0" w:line="240" w:lineRule="auto"/>
                    <w:ind w:left="-108" w:right="-90"/>
                    <w:jc w:val="both"/>
                    <w:rPr>
                      <w:rFonts w:ascii="Arial" w:hAnsi="Arial" w:cs="Arial"/>
                      <w:b/>
                      <w:sz w:val="24"/>
                      <w:szCs w:val="24"/>
                    </w:rPr>
                  </w:pPr>
                  <w:r w:rsidRPr="007633BF">
                    <w:rPr>
                      <w:rFonts w:ascii="Arial" w:hAnsi="Arial" w:cs="Arial"/>
                      <w:b/>
                      <w:sz w:val="24"/>
                      <w:szCs w:val="24"/>
                    </w:rPr>
                    <w:t>Financial Services Commission</w:t>
                  </w:r>
                </w:p>
                <w:p w:rsidR="00953434" w:rsidRPr="007633BF" w:rsidRDefault="00AA7A5D" w:rsidP="007633BF">
                  <w:pPr>
                    <w:spacing w:after="0" w:line="240" w:lineRule="auto"/>
                    <w:ind w:left="-108" w:right="-90"/>
                    <w:jc w:val="both"/>
                    <w:rPr>
                      <w:rFonts w:ascii="Arial" w:hAnsi="Arial" w:cs="Arial"/>
                      <w:b/>
                      <w:sz w:val="24"/>
                      <w:szCs w:val="24"/>
                    </w:rPr>
                  </w:pPr>
                  <w:r>
                    <w:rPr>
                      <w:rFonts w:ascii="Arial" w:hAnsi="Arial" w:cs="Arial"/>
                      <w:b/>
                      <w:sz w:val="24"/>
                      <w:szCs w:val="24"/>
                    </w:rPr>
                    <w:t>03</w:t>
                  </w:r>
                  <w:r w:rsidR="00750ACB">
                    <w:rPr>
                      <w:rFonts w:ascii="Arial" w:hAnsi="Arial" w:cs="Arial"/>
                      <w:b/>
                      <w:sz w:val="24"/>
                      <w:szCs w:val="24"/>
                    </w:rPr>
                    <w:t>/03</w:t>
                  </w:r>
                  <w:r w:rsidR="00953434" w:rsidRPr="007633BF">
                    <w:rPr>
                      <w:rFonts w:ascii="Arial" w:hAnsi="Arial" w:cs="Arial"/>
                      <w:b/>
                      <w:sz w:val="24"/>
                      <w:szCs w:val="24"/>
                    </w:rPr>
                    <w:t>/2016</w:t>
                  </w:r>
                </w:p>
                <w:p w:rsidR="007C1E42" w:rsidRPr="007633BF" w:rsidRDefault="007C1E42" w:rsidP="007633BF">
                  <w:pPr>
                    <w:spacing w:after="0" w:line="240" w:lineRule="auto"/>
                    <w:ind w:left="-108" w:right="-90"/>
                    <w:jc w:val="both"/>
                    <w:rPr>
                      <w:rFonts w:ascii="Arial" w:hAnsi="Arial" w:cs="Arial"/>
                      <w:b/>
                      <w:sz w:val="24"/>
                      <w:szCs w:val="24"/>
                    </w:rPr>
                  </w:pPr>
                </w:p>
                <w:p w:rsidR="00C71033" w:rsidRPr="00587138" w:rsidRDefault="00E10CCB" w:rsidP="007633BF">
                  <w:pPr>
                    <w:spacing w:after="0" w:line="240" w:lineRule="auto"/>
                    <w:ind w:left="-108" w:right="-90"/>
                    <w:jc w:val="both"/>
                    <w:rPr>
                      <w:rFonts w:ascii="Arial" w:hAnsi="Arial" w:cs="Arial"/>
                      <w:b/>
                      <w:sz w:val="24"/>
                      <w:szCs w:val="24"/>
                    </w:rPr>
                  </w:pPr>
                  <w:r w:rsidRPr="007633BF">
                    <w:rPr>
                      <w:rFonts w:ascii="Arial" w:hAnsi="Arial" w:cs="Arial"/>
                      <w:b/>
                      <w:sz w:val="24"/>
                      <w:szCs w:val="24"/>
                    </w:rPr>
                    <w:t>Cc: H.E. The Governo</w:t>
                  </w:r>
                  <w:r w:rsidR="00C71033" w:rsidRPr="007633BF">
                    <w:rPr>
                      <w:rFonts w:ascii="Arial" w:hAnsi="Arial" w:cs="Arial"/>
                      <w:b/>
                      <w:sz w:val="24"/>
                      <w:szCs w:val="24"/>
                    </w:rPr>
                    <w:t>r</w:t>
                  </w:r>
                </w:p>
              </w:tc>
            </w:tr>
          </w:tbl>
          <w:p w:rsidR="00A3089A" w:rsidRPr="00587138" w:rsidRDefault="00A3089A" w:rsidP="007633BF">
            <w:pPr>
              <w:spacing w:after="0" w:line="240" w:lineRule="auto"/>
              <w:ind w:right="-90"/>
              <w:jc w:val="both"/>
              <w:rPr>
                <w:rFonts w:ascii="Arial" w:hAnsi="Arial" w:cs="Arial"/>
                <w:sz w:val="24"/>
                <w:szCs w:val="24"/>
              </w:rPr>
            </w:pPr>
          </w:p>
        </w:tc>
      </w:tr>
    </w:tbl>
    <w:p w:rsidR="0051414A" w:rsidRPr="00587138" w:rsidRDefault="0051414A" w:rsidP="002E75EA">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5C8" w:rsidRDefault="00C415C8" w:rsidP="00A214FB">
      <w:pPr>
        <w:spacing w:after="0" w:line="240" w:lineRule="auto"/>
      </w:pPr>
      <w:r>
        <w:separator/>
      </w:r>
    </w:p>
  </w:endnote>
  <w:endnote w:type="continuationSeparator" w:id="1">
    <w:p w:rsidR="00C415C8" w:rsidRDefault="00C415C8"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5C8" w:rsidRDefault="00C415C8" w:rsidP="00A214FB">
      <w:pPr>
        <w:spacing w:after="0" w:line="240" w:lineRule="auto"/>
      </w:pPr>
      <w:r>
        <w:separator/>
      </w:r>
    </w:p>
  </w:footnote>
  <w:footnote w:type="continuationSeparator" w:id="1">
    <w:p w:rsidR="00C415C8" w:rsidRDefault="00C415C8"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D12"/>
    <w:multiLevelType w:val="hybridMultilevel"/>
    <w:tmpl w:val="4DA08504"/>
    <w:lvl w:ilvl="0" w:tplc="75B8A004">
      <w:start w:val="1"/>
      <w:numFmt w:val="lowerRoman"/>
      <w:lvlText w:val="%1."/>
      <w:lvlJc w:val="left"/>
      <w:pPr>
        <w:ind w:left="1080" w:hanging="720"/>
      </w:pPr>
      <w:rPr>
        <w:rFonts w:hint="default"/>
      </w:rPr>
    </w:lvl>
    <w:lvl w:ilvl="1" w:tplc="5EA66288">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3C257D1"/>
    <w:multiLevelType w:val="hybridMultilevel"/>
    <w:tmpl w:val="F176C13A"/>
    <w:lvl w:ilvl="0" w:tplc="C47C7B4C">
      <w:start w:val="1"/>
      <w:numFmt w:val="lowerLetter"/>
      <w:lvlText w:val="%1."/>
      <w:lvlJc w:val="left"/>
      <w:pPr>
        <w:ind w:left="1062" w:hanging="360"/>
      </w:pPr>
      <w:rPr>
        <w:rFonts w:hint="default"/>
      </w:rPr>
    </w:lvl>
    <w:lvl w:ilvl="1" w:tplc="24090019" w:tentative="1">
      <w:start w:val="1"/>
      <w:numFmt w:val="lowerLetter"/>
      <w:lvlText w:val="%2."/>
      <w:lvlJc w:val="left"/>
      <w:pPr>
        <w:ind w:left="1782" w:hanging="360"/>
      </w:pPr>
    </w:lvl>
    <w:lvl w:ilvl="2" w:tplc="2409001B" w:tentative="1">
      <w:start w:val="1"/>
      <w:numFmt w:val="lowerRoman"/>
      <w:lvlText w:val="%3."/>
      <w:lvlJc w:val="right"/>
      <w:pPr>
        <w:ind w:left="2502" w:hanging="180"/>
      </w:pPr>
    </w:lvl>
    <w:lvl w:ilvl="3" w:tplc="2409000F" w:tentative="1">
      <w:start w:val="1"/>
      <w:numFmt w:val="decimal"/>
      <w:lvlText w:val="%4."/>
      <w:lvlJc w:val="left"/>
      <w:pPr>
        <w:ind w:left="3222" w:hanging="360"/>
      </w:pPr>
    </w:lvl>
    <w:lvl w:ilvl="4" w:tplc="24090019" w:tentative="1">
      <w:start w:val="1"/>
      <w:numFmt w:val="lowerLetter"/>
      <w:lvlText w:val="%5."/>
      <w:lvlJc w:val="left"/>
      <w:pPr>
        <w:ind w:left="3942" w:hanging="360"/>
      </w:pPr>
    </w:lvl>
    <w:lvl w:ilvl="5" w:tplc="2409001B" w:tentative="1">
      <w:start w:val="1"/>
      <w:numFmt w:val="lowerRoman"/>
      <w:lvlText w:val="%6."/>
      <w:lvlJc w:val="right"/>
      <w:pPr>
        <w:ind w:left="4662" w:hanging="180"/>
      </w:pPr>
    </w:lvl>
    <w:lvl w:ilvl="6" w:tplc="2409000F" w:tentative="1">
      <w:start w:val="1"/>
      <w:numFmt w:val="decimal"/>
      <w:lvlText w:val="%7."/>
      <w:lvlJc w:val="left"/>
      <w:pPr>
        <w:ind w:left="5382" w:hanging="360"/>
      </w:pPr>
    </w:lvl>
    <w:lvl w:ilvl="7" w:tplc="24090019" w:tentative="1">
      <w:start w:val="1"/>
      <w:numFmt w:val="lowerLetter"/>
      <w:lvlText w:val="%8."/>
      <w:lvlJc w:val="left"/>
      <w:pPr>
        <w:ind w:left="6102" w:hanging="360"/>
      </w:pPr>
    </w:lvl>
    <w:lvl w:ilvl="8" w:tplc="2409001B" w:tentative="1">
      <w:start w:val="1"/>
      <w:numFmt w:val="lowerRoman"/>
      <w:lvlText w:val="%9."/>
      <w:lvlJc w:val="right"/>
      <w:pPr>
        <w:ind w:left="6822" w:hanging="180"/>
      </w:pPr>
    </w:lvl>
  </w:abstractNum>
  <w:abstractNum w:abstractNumId="2">
    <w:nsid w:val="0A28562D"/>
    <w:multiLevelType w:val="hybridMultilevel"/>
    <w:tmpl w:val="6F242E9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372A7A70"/>
    <w:multiLevelType w:val="hybridMultilevel"/>
    <w:tmpl w:val="E1061D9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
    <w:nsid w:val="38C51E49"/>
    <w:multiLevelType w:val="hybridMultilevel"/>
    <w:tmpl w:val="2B14F88C"/>
    <w:lvl w:ilvl="0" w:tplc="75B8A004">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3E0B6765"/>
    <w:multiLevelType w:val="hybridMultilevel"/>
    <w:tmpl w:val="C22A8084"/>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6">
    <w:nsid w:val="403D25F3"/>
    <w:multiLevelType w:val="hybridMultilevel"/>
    <w:tmpl w:val="7CB47584"/>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426A2BAA"/>
    <w:multiLevelType w:val="hybridMultilevel"/>
    <w:tmpl w:val="A8D6B6F4"/>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8">
    <w:nsid w:val="48A47C0A"/>
    <w:multiLevelType w:val="hybridMultilevel"/>
    <w:tmpl w:val="BF8E3BBE"/>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9">
    <w:nsid w:val="511267D9"/>
    <w:multiLevelType w:val="hybridMultilevel"/>
    <w:tmpl w:val="43F8F6E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540B605A"/>
    <w:multiLevelType w:val="hybridMultilevel"/>
    <w:tmpl w:val="2D464E0C"/>
    <w:lvl w:ilvl="0" w:tplc="C47C7B4C">
      <w:start w:val="1"/>
      <w:numFmt w:val="lowerLetter"/>
      <w:lvlText w:val="%1."/>
      <w:lvlJc w:val="left"/>
      <w:pPr>
        <w:ind w:left="1062" w:hanging="360"/>
      </w:pPr>
      <w:rPr>
        <w:rFonts w:hint="default"/>
      </w:rPr>
    </w:lvl>
    <w:lvl w:ilvl="1" w:tplc="24090019" w:tentative="1">
      <w:start w:val="1"/>
      <w:numFmt w:val="lowerLetter"/>
      <w:lvlText w:val="%2."/>
      <w:lvlJc w:val="left"/>
      <w:pPr>
        <w:ind w:left="1782" w:hanging="360"/>
      </w:pPr>
    </w:lvl>
    <w:lvl w:ilvl="2" w:tplc="2409001B" w:tentative="1">
      <w:start w:val="1"/>
      <w:numFmt w:val="lowerRoman"/>
      <w:lvlText w:val="%3."/>
      <w:lvlJc w:val="right"/>
      <w:pPr>
        <w:ind w:left="2502" w:hanging="180"/>
      </w:pPr>
    </w:lvl>
    <w:lvl w:ilvl="3" w:tplc="2409000F" w:tentative="1">
      <w:start w:val="1"/>
      <w:numFmt w:val="decimal"/>
      <w:lvlText w:val="%4."/>
      <w:lvlJc w:val="left"/>
      <w:pPr>
        <w:ind w:left="3222" w:hanging="360"/>
      </w:pPr>
    </w:lvl>
    <w:lvl w:ilvl="4" w:tplc="24090019" w:tentative="1">
      <w:start w:val="1"/>
      <w:numFmt w:val="lowerLetter"/>
      <w:lvlText w:val="%5."/>
      <w:lvlJc w:val="left"/>
      <w:pPr>
        <w:ind w:left="3942" w:hanging="360"/>
      </w:pPr>
    </w:lvl>
    <w:lvl w:ilvl="5" w:tplc="2409001B" w:tentative="1">
      <w:start w:val="1"/>
      <w:numFmt w:val="lowerRoman"/>
      <w:lvlText w:val="%6."/>
      <w:lvlJc w:val="right"/>
      <w:pPr>
        <w:ind w:left="4662" w:hanging="180"/>
      </w:pPr>
    </w:lvl>
    <w:lvl w:ilvl="6" w:tplc="2409000F" w:tentative="1">
      <w:start w:val="1"/>
      <w:numFmt w:val="decimal"/>
      <w:lvlText w:val="%7."/>
      <w:lvlJc w:val="left"/>
      <w:pPr>
        <w:ind w:left="5382" w:hanging="360"/>
      </w:pPr>
    </w:lvl>
    <w:lvl w:ilvl="7" w:tplc="24090019" w:tentative="1">
      <w:start w:val="1"/>
      <w:numFmt w:val="lowerLetter"/>
      <w:lvlText w:val="%8."/>
      <w:lvlJc w:val="left"/>
      <w:pPr>
        <w:ind w:left="6102" w:hanging="360"/>
      </w:pPr>
    </w:lvl>
    <w:lvl w:ilvl="8" w:tplc="2409001B" w:tentative="1">
      <w:start w:val="1"/>
      <w:numFmt w:val="lowerRoman"/>
      <w:lvlText w:val="%9."/>
      <w:lvlJc w:val="right"/>
      <w:pPr>
        <w:ind w:left="6822" w:hanging="180"/>
      </w:pPr>
    </w:lvl>
  </w:abstractNum>
  <w:abstractNum w:abstractNumId="11">
    <w:nsid w:val="582377CA"/>
    <w:multiLevelType w:val="hybridMultilevel"/>
    <w:tmpl w:val="7AAA6CE0"/>
    <w:lvl w:ilvl="0" w:tplc="75B8A004">
      <w:start w:val="1"/>
      <w:numFmt w:val="lowerRoman"/>
      <w:lvlText w:val="%1."/>
      <w:lvlJc w:val="left"/>
      <w:pPr>
        <w:ind w:left="1080" w:hanging="720"/>
      </w:pPr>
      <w:rPr>
        <w:rFonts w:hint="default"/>
      </w:rPr>
    </w:lvl>
    <w:lvl w:ilvl="1" w:tplc="4AE82EA2">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59A66DE5"/>
    <w:multiLevelType w:val="hybridMultilevel"/>
    <w:tmpl w:val="D4A4151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63C268B6"/>
    <w:multiLevelType w:val="hybridMultilevel"/>
    <w:tmpl w:val="CB1814F2"/>
    <w:lvl w:ilvl="0" w:tplc="E856DBC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6434694B"/>
    <w:multiLevelType w:val="hybridMultilevel"/>
    <w:tmpl w:val="53F8AC2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66081889"/>
    <w:multiLevelType w:val="hybridMultilevel"/>
    <w:tmpl w:val="8BC21FB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6F4B4EFA"/>
    <w:multiLevelType w:val="hybridMultilevel"/>
    <w:tmpl w:val="3E56F65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70DE36AA"/>
    <w:multiLevelType w:val="hybridMultilevel"/>
    <w:tmpl w:val="CE4272F0"/>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76584EF4"/>
    <w:multiLevelType w:val="hybridMultilevel"/>
    <w:tmpl w:val="3EAE0050"/>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num w:numId="1">
    <w:abstractNumId w:val="13"/>
  </w:num>
  <w:num w:numId="2">
    <w:abstractNumId w:val="7"/>
  </w:num>
  <w:num w:numId="3">
    <w:abstractNumId w:val="17"/>
  </w:num>
  <w:num w:numId="4">
    <w:abstractNumId w:val="6"/>
  </w:num>
  <w:num w:numId="5">
    <w:abstractNumId w:val="12"/>
  </w:num>
  <w:num w:numId="6">
    <w:abstractNumId w:val="3"/>
  </w:num>
  <w:num w:numId="7">
    <w:abstractNumId w:val="0"/>
  </w:num>
  <w:num w:numId="8">
    <w:abstractNumId w:val="5"/>
  </w:num>
  <w:num w:numId="9">
    <w:abstractNumId w:val="18"/>
  </w:num>
  <w:num w:numId="10">
    <w:abstractNumId w:val="16"/>
  </w:num>
  <w:num w:numId="11">
    <w:abstractNumId w:val="14"/>
  </w:num>
  <w:num w:numId="12">
    <w:abstractNumId w:val="8"/>
  </w:num>
  <w:num w:numId="13">
    <w:abstractNumId w:val="11"/>
  </w:num>
  <w:num w:numId="14">
    <w:abstractNumId w:val="2"/>
  </w:num>
  <w:num w:numId="15">
    <w:abstractNumId w:val="4"/>
  </w:num>
  <w:num w:numId="16">
    <w:abstractNumId w:val="15"/>
  </w:num>
  <w:num w:numId="17">
    <w:abstractNumId w:val="9"/>
  </w:num>
  <w:num w:numId="18">
    <w:abstractNumId w:val="1"/>
  </w:num>
  <w:num w:numId="19">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3F3F"/>
    <w:rsid w:val="0001596D"/>
    <w:rsid w:val="000212E0"/>
    <w:rsid w:val="000216F9"/>
    <w:rsid w:val="000230CA"/>
    <w:rsid w:val="0002527F"/>
    <w:rsid w:val="00030A6F"/>
    <w:rsid w:val="000350B6"/>
    <w:rsid w:val="00035665"/>
    <w:rsid w:val="00037FD9"/>
    <w:rsid w:val="00040DB5"/>
    <w:rsid w:val="000466A6"/>
    <w:rsid w:val="00046E3C"/>
    <w:rsid w:val="00047C02"/>
    <w:rsid w:val="00050014"/>
    <w:rsid w:val="00050C58"/>
    <w:rsid w:val="00052D60"/>
    <w:rsid w:val="00056988"/>
    <w:rsid w:val="00057C2A"/>
    <w:rsid w:val="00057D74"/>
    <w:rsid w:val="00062C7A"/>
    <w:rsid w:val="00067694"/>
    <w:rsid w:val="00067C0A"/>
    <w:rsid w:val="000701D8"/>
    <w:rsid w:val="00070711"/>
    <w:rsid w:val="00071616"/>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F5646"/>
    <w:rsid w:val="000F6055"/>
    <w:rsid w:val="000F6681"/>
    <w:rsid w:val="000F731F"/>
    <w:rsid w:val="000F7E28"/>
    <w:rsid w:val="001010FB"/>
    <w:rsid w:val="0010183B"/>
    <w:rsid w:val="00102FED"/>
    <w:rsid w:val="00115045"/>
    <w:rsid w:val="00117F43"/>
    <w:rsid w:val="0012101A"/>
    <w:rsid w:val="0012275B"/>
    <w:rsid w:val="00130C34"/>
    <w:rsid w:val="0013147B"/>
    <w:rsid w:val="00131AF0"/>
    <w:rsid w:val="00135ABA"/>
    <w:rsid w:val="0013754B"/>
    <w:rsid w:val="0014687E"/>
    <w:rsid w:val="00150580"/>
    <w:rsid w:val="001538C0"/>
    <w:rsid w:val="00156ECE"/>
    <w:rsid w:val="00166F96"/>
    <w:rsid w:val="001732A3"/>
    <w:rsid w:val="0018320D"/>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292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5006"/>
    <w:rsid w:val="002775CF"/>
    <w:rsid w:val="002779BB"/>
    <w:rsid w:val="00282A01"/>
    <w:rsid w:val="00284FBA"/>
    <w:rsid w:val="00287123"/>
    <w:rsid w:val="0029147C"/>
    <w:rsid w:val="002A40EF"/>
    <w:rsid w:val="002A6C32"/>
    <w:rsid w:val="002B1DDF"/>
    <w:rsid w:val="002B3720"/>
    <w:rsid w:val="002C128A"/>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D1BB7"/>
    <w:rsid w:val="003D2BBA"/>
    <w:rsid w:val="003D2C6F"/>
    <w:rsid w:val="003D66AE"/>
    <w:rsid w:val="003D68FF"/>
    <w:rsid w:val="003D6FDE"/>
    <w:rsid w:val="003D7B68"/>
    <w:rsid w:val="003E08C9"/>
    <w:rsid w:val="003E604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0FD7"/>
    <w:rsid w:val="004B12AC"/>
    <w:rsid w:val="004B1337"/>
    <w:rsid w:val="004C1053"/>
    <w:rsid w:val="004D2017"/>
    <w:rsid w:val="004D2513"/>
    <w:rsid w:val="004D44A6"/>
    <w:rsid w:val="004D6B14"/>
    <w:rsid w:val="004D76C6"/>
    <w:rsid w:val="004E3BBF"/>
    <w:rsid w:val="004E4E08"/>
    <w:rsid w:val="004E6D8E"/>
    <w:rsid w:val="004F1929"/>
    <w:rsid w:val="005014E3"/>
    <w:rsid w:val="005022D1"/>
    <w:rsid w:val="0050512F"/>
    <w:rsid w:val="005140F9"/>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8072A"/>
    <w:rsid w:val="00581B89"/>
    <w:rsid w:val="00583B2F"/>
    <w:rsid w:val="00584247"/>
    <w:rsid w:val="005848EA"/>
    <w:rsid w:val="00586459"/>
    <w:rsid w:val="00587138"/>
    <w:rsid w:val="00590254"/>
    <w:rsid w:val="005935D2"/>
    <w:rsid w:val="00595857"/>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74A"/>
    <w:rsid w:val="006059EA"/>
    <w:rsid w:val="00610EEC"/>
    <w:rsid w:val="006164AC"/>
    <w:rsid w:val="00616B0E"/>
    <w:rsid w:val="0062126F"/>
    <w:rsid w:val="00621E54"/>
    <w:rsid w:val="00621E9B"/>
    <w:rsid w:val="00622A8A"/>
    <w:rsid w:val="00623270"/>
    <w:rsid w:val="006243BE"/>
    <w:rsid w:val="006258CB"/>
    <w:rsid w:val="00627ADE"/>
    <w:rsid w:val="006316D1"/>
    <w:rsid w:val="00632622"/>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72489"/>
    <w:rsid w:val="00683025"/>
    <w:rsid w:val="00691113"/>
    <w:rsid w:val="0069209E"/>
    <w:rsid w:val="00692119"/>
    <w:rsid w:val="00697397"/>
    <w:rsid w:val="006A26DD"/>
    <w:rsid w:val="006A47ED"/>
    <w:rsid w:val="006A4AF3"/>
    <w:rsid w:val="006A6707"/>
    <w:rsid w:val="006A6DF1"/>
    <w:rsid w:val="006B14D8"/>
    <w:rsid w:val="006B16FA"/>
    <w:rsid w:val="006B202F"/>
    <w:rsid w:val="006B488B"/>
    <w:rsid w:val="006B4B16"/>
    <w:rsid w:val="006C2C03"/>
    <w:rsid w:val="006C6406"/>
    <w:rsid w:val="006C74AF"/>
    <w:rsid w:val="006C799F"/>
    <w:rsid w:val="006C7ACC"/>
    <w:rsid w:val="006D2EBA"/>
    <w:rsid w:val="006D45E8"/>
    <w:rsid w:val="006D4CB6"/>
    <w:rsid w:val="006D5F14"/>
    <w:rsid w:val="006E2800"/>
    <w:rsid w:val="006E2F13"/>
    <w:rsid w:val="006E31AB"/>
    <w:rsid w:val="006E552C"/>
    <w:rsid w:val="006E68CF"/>
    <w:rsid w:val="00701AB9"/>
    <w:rsid w:val="007055C9"/>
    <w:rsid w:val="007075DB"/>
    <w:rsid w:val="00711981"/>
    <w:rsid w:val="00712BEF"/>
    <w:rsid w:val="007135BB"/>
    <w:rsid w:val="00715CBE"/>
    <w:rsid w:val="007162A8"/>
    <w:rsid w:val="007176A9"/>
    <w:rsid w:val="00720DA3"/>
    <w:rsid w:val="00721574"/>
    <w:rsid w:val="00723706"/>
    <w:rsid w:val="00730B57"/>
    <w:rsid w:val="007311D0"/>
    <w:rsid w:val="00731A0E"/>
    <w:rsid w:val="00734CD9"/>
    <w:rsid w:val="00735520"/>
    <w:rsid w:val="007371B9"/>
    <w:rsid w:val="00742398"/>
    <w:rsid w:val="00747D21"/>
    <w:rsid w:val="00750ACB"/>
    <w:rsid w:val="00751221"/>
    <w:rsid w:val="00752C6A"/>
    <w:rsid w:val="00755D80"/>
    <w:rsid w:val="007633BF"/>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4502"/>
    <w:rsid w:val="00866044"/>
    <w:rsid w:val="008810CD"/>
    <w:rsid w:val="00882917"/>
    <w:rsid w:val="0088443B"/>
    <w:rsid w:val="00890003"/>
    <w:rsid w:val="00890F51"/>
    <w:rsid w:val="008915BD"/>
    <w:rsid w:val="008923E8"/>
    <w:rsid w:val="008A2130"/>
    <w:rsid w:val="008A3322"/>
    <w:rsid w:val="008B175E"/>
    <w:rsid w:val="008B225F"/>
    <w:rsid w:val="008B4BF7"/>
    <w:rsid w:val="008C2875"/>
    <w:rsid w:val="008D2EC3"/>
    <w:rsid w:val="008D786D"/>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EEA"/>
    <w:rsid w:val="0094358A"/>
    <w:rsid w:val="00953434"/>
    <w:rsid w:val="0095374D"/>
    <w:rsid w:val="00955AC1"/>
    <w:rsid w:val="009565E2"/>
    <w:rsid w:val="00957F65"/>
    <w:rsid w:val="00964197"/>
    <w:rsid w:val="009675F1"/>
    <w:rsid w:val="00970DC3"/>
    <w:rsid w:val="00984ABE"/>
    <w:rsid w:val="009877CE"/>
    <w:rsid w:val="00992F74"/>
    <w:rsid w:val="0099708A"/>
    <w:rsid w:val="00997D14"/>
    <w:rsid w:val="00997FAD"/>
    <w:rsid w:val="009A3F84"/>
    <w:rsid w:val="009A41B3"/>
    <w:rsid w:val="009A4A89"/>
    <w:rsid w:val="009A546A"/>
    <w:rsid w:val="009A7DB3"/>
    <w:rsid w:val="009B0A74"/>
    <w:rsid w:val="009B0EC9"/>
    <w:rsid w:val="009B4140"/>
    <w:rsid w:val="009D064A"/>
    <w:rsid w:val="009D240E"/>
    <w:rsid w:val="009D2788"/>
    <w:rsid w:val="009D3654"/>
    <w:rsid w:val="009D5BD0"/>
    <w:rsid w:val="009F0B25"/>
    <w:rsid w:val="009F1599"/>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5D89"/>
    <w:rsid w:val="00A86F5E"/>
    <w:rsid w:val="00A90BE3"/>
    <w:rsid w:val="00A95BEB"/>
    <w:rsid w:val="00AA2B6B"/>
    <w:rsid w:val="00AA7A5D"/>
    <w:rsid w:val="00AB0C45"/>
    <w:rsid w:val="00AB6B36"/>
    <w:rsid w:val="00AC06F2"/>
    <w:rsid w:val="00AC3B65"/>
    <w:rsid w:val="00AC4F7C"/>
    <w:rsid w:val="00AD228D"/>
    <w:rsid w:val="00AE2688"/>
    <w:rsid w:val="00AE4D43"/>
    <w:rsid w:val="00AE597C"/>
    <w:rsid w:val="00AE5D99"/>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4AD6"/>
    <w:rsid w:val="00B46001"/>
    <w:rsid w:val="00B519FE"/>
    <w:rsid w:val="00B5347B"/>
    <w:rsid w:val="00B57548"/>
    <w:rsid w:val="00B67E03"/>
    <w:rsid w:val="00B74CF5"/>
    <w:rsid w:val="00B74F0A"/>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B0D3E"/>
    <w:rsid w:val="00BB18BB"/>
    <w:rsid w:val="00BB1CBE"/>
    <w:rsid w:val="00BB55CD"/>
    <w:rsid w:val="00BC1912"/>
    <w:rsid w:val="00BC3CD3"/>
    <w:rsid w:val="00BC4121"/>
    <w:rsid w:val="00BC614F"/>
    <w:rsid w:val="00BD1951"/>
    <w:rsid w:val="00BD20AC"/>
    <w:rsid w:val="00BD2E30"/>
    <w:rsid w:val="00BD30DF"/>
    <w:rsid w:val="00BE4220"/>
    <w:rsid w:val="00BE5AFA"/>
    <w:rsid w:val="00BE7053"/>
    <w:rsid w:val="00BF24CE"/>
    <w:rsid w:val="00BF32A2"/>
    <w:rsid w:val="00C00A8D"/>
    <w:rsid w:val="00C058D3"/>
    <w:rsid w:val="00C109A4"/>
    <w:rsid w:val="00C23E37"/>
    <w:rsid w:val="00C24089"/>
    <w:rsid w:val="00C311E3"/>
    <w:rsid w:val="00C333CC"/>
    <w:rsid w:val="00C33ACC"/>
    <w:rsid w:val="00C4116D"/>
    <w:rsid w:val="00C415C8"/>
    <w:rsid w:val="00C54BDF"/>
    <w:rsid w:val="00C54D52"/>
    <w:rsid w:val="00C56129"/>
    <w:rsid w:val="00C56BA5"/>
    <w:rsid w:val="00C56FEC"/>
    <w:rsid w:val="00C56FF9"/>
    <w:rsid w:val="00C57336"/>
    <w:rsid w:val="00C607FD"/>
    <w:rsid w:val="00C61E50"/>
    <w:rsid w:val="00C6232D"/>
    <w:rsid w:val="00C6402F"/>
    <w:rsid w:val="00C654D6"/>
    <w:rsid w:val="00C71033"/>
    <w:rsid w:val="00C7246C"/>
    <w:rsid w:val="00C766F4"/>
    <w:rsid w:val="00C85853"/>
    <w:rsid w:val="00C86A92"/>
    <w:rsid w:val="00C8788B"/>
    <w:rsid w:val="00C90C6F"/>
    <w:rsid w:val="00C9520F"/>
    <w:rsid w:val="00C95982"/>
    <w:rsid w:val="00CA0734"/>
    <w:rsid w:val="00CA2A91"/>
    <w:rsid w:val="00CA3D1B"/>
    <w:rsid w:val="00CA5850"/>
    <w:rsid w:val="00CA7300"/>
    <w:rsid w:val="00CB4F89"/>
    <w:rsid w:val="00CB5DA3"/>
    <w:rsid w:val="00CB7B80"/>
    <w:rsid w:val="00CC53F4"/>
    <w:rsid w:val="00CD319A"/>
    <w:rsid w:val="00CD3740"/>
    <w:rsid w:val="00CD56D3"/>
    <w:rsid w:val="00CD650A"/>
    <w:rsid w:val="00CE0D42"/>
    <w:rsid w:val="00CE19CB"/>
    <w:rsid w:val="00CE3AF9"/>
    <w:rsid w:val="00CE3DD6"/>
    <w:rsid w:val="00CF4388"/>
    <w:rsid w:val="00CF4646"/>
    <w:rsid w:val="00CF55FE"/>
    <w:rsid w:val="00D026B6"/>
    <w:rsid w:val="00D0538F"/>
    <w:rsid w:val="00D06E9B"/>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15D6"/>
    <w:rsid w:val="00D526EC"/>
    <w:rsid w:val="00D53CCE"/>
    <w:rsid w:val="00D60562"/>
    <w:rsid w:val="00D6255E"/>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19F2"/>
    <w:rsid w:val="00E2418A"/>
    <w:rsid w:val="00E27505"/>
    <w:rsid w:val="00E32015"/>
    <w:rsid w:val="00E33A54"/>
    <w:rsid w:val="00E353BC"/>
    <w:rsid w:val="00E36330"/>
    <w:rsid w:val="00E36711"/>
    <w:rsid w:val="00E4034E"/>
    <w:rsid w:val="00E41B37"/>
    <w:rsid w:val="00E432E6"/>
    <w:rsid w:val="00E55354"/>
    <w:rsid w:val="00E56A18"/>
    <w:rsid w:val="00E62A50"/>
    <w:rsid w:val="00E74714"/>
    <w:rsid w:val="00E75750"/>
    <w:rsid w:val="00E769D8"/>
    <w:rsid w:val="00E76CB5"/>
    <w:rsid w:val="00E823B6"/>
    <w:rsid w:val="00E8393C"/>
    <w:rsid w:val="00E86488"/>
    <w:rsid w:val="00E95C1C"/>
    <w:rsid w:val="00E9601A"/>
    <w:rsid w:val="00EA0923"/>
    <w:rsid w:val="00EB0393"/>
    <w:rsid w:val="00EB49B1"/>
    <w:rsid w:val="00EC39F2"/>
    <w:rsid w:val="00ED05DA"/>
    <w:rsid w:val="00ED0A00"/>
    <w:rsid w:val="00ED21E2"/>
    <w:rsid w:val="00ED29C3"/>
    <w:rsid w:val="00ED3387"/>
    <w:rsid w:val="00ED5B99"/>
    <w:rsid w:val="00ED645F"/>
    <w:rsid w:val="00ED7EC7"/>
    <w:rsid w:val="00ED7FAE"/>
    <w:rsid w:val="00EE4D5D"/>
    <w:rsid w:val="00EE72DC"/>
    <w:rsid w:val="00EE7366"/>
    <w:rsid w:val="00EE7B04"/>
    <w:rsid w:val="00EE7C06"/>
    <w:rsid w:val="00EE7E7F"/>
    <w:rsid w:val="00EF0E14"/>
    <w:rsid w:val="00EF2944"/>
    <w:rsid w:val="00EF36C6"/>
    <w:rsid w:val="00EF5A66"/>
    <w:rsid w:val="00EF6299"/>
    <w:rsid w:val="00F01879"/>
    <w:rsid w:val="00F109BD"/>
    <w:rsid w:val="00F123ED"/>
    <w:rsid w:val="00F16AFB"/>
    <w:rsid w:val="00F26443"/>
    <w:rsid w:val="00F316FC"/>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57685"/>
    <w:rsid w:val="00F642A9"/>
    <w:rsid w:val="00F6440F"/>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D77E2"/>
    <w:rsid w:val="00FE568C"/>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un.org/sc/committ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llections/financial-sanctions-regime-specificconsolidated-lists-and-releas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sanctions-embargoes-and-restrictions" TargetMode="External"/><Relationship Id="rId5" Type="http://schemas.openxmlformats.org/officeDocument/2006/relationships/webSettings" Target="webSettings.xml"/><Relationship Id="rId15" Type="http://schemas.openxmlformats.org/officeDocument/2006/relationships/hyperlink" Target="mailto:Tony.Bates@fco.gsi.gov.uk" TargetMode="External"/><Relationship Id="rId10" Type="http://schemas.openxmlformats.org/officeDocument/2006/relationships/hyperlink" Target="http://eur-lex.europa.eu/legal-content/EN/TXT/HTML/?uri=CELEX:32016R0044&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3DC3C-C2B2-4A16-BB83-17F8AAC3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3</cp:revision>
  <cp:lastPrinted>2016-03-04T14:31:00Z</cp:lastPrinted>
  <dcterms:created xsi:type="dcterms:W3CDTF">2016-03-04T14:32:00Z</dcterms:created>
  <dcterms:modified xsi:type="dcterms:W3CDTF">2016-03-04T14:41:00Z</dcterms:modified>
</cp:coreProperties>
</file>